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F9A9F7" w14:textId="77777777" w:rsidR="008F3A23" w:rsidRPr="00FD0F03" w:rsidRDefault="008F3A23" w:rsidP="00724F6B">
      <w:pPr>
        <w:spacing w:after="120"/>
        <w:contextualSpacing/>
        <w:jc w:val="right"/>
        <w:rPr>
          <w:sz w:val="22"/>
          <w:szCs w:val="22"/>
          <w:u w:val="single"/>
        </w:rPr>
      </w:pPr>
    </w:p>
    <w:p w14:paraId="4CFA64A9" w14:textId="77777777" w:rsidR="00020359" w:rsidRPr="00275B18" w:rsidRDefault="006C2311" w:rsidP="00724F6B">
      <w:pPr>
        <w:spacing w:after="120"/>
        <w:contextualSpacing/>
        <w:jc w:val="right"/>
        <w:rPr>
          <w:sz w:val="22"/>
          <w:szCs w:val="22"/>
        </w:rPr>
      </w:pPr>
      <w:r w:rsidRPr="00275B18">
        <w:rPr>
          <w:sz w:val="22"/>
          <w:szCs w:val="22"/>
        </w:rPr>
        <w:t>Apstiprināt</w:t>
      </w:r>
      <w:r>
        <w:rPr>
          <w:sz w:val="22"/>
          <w:szCs w:val="22"/>
        </w:rPr>
        <w:t>i</w:t>
      </w:r>
      <w:r w:rsidRPr="00275B18">
        <w:rPr>
          <w:sz w:val="22"/>
          <w:szCs w:val="22"/>
        </w:rPr>
        <w:t xml:space="preserve"> </w:t>
      </w:r>
    </w:p>
    <w:p w14:paraId="3CF491DE" w14:textId="77777777" w:rsidR="00020359" w:rsidRPr="00275B18" w:rsidRDefault="00020359" w:rsidP="00724F6B">
      <w:pPr>
        <w:spacing w:after="120"/>
        <w:contextualSpacing/>
        <w:jc w:val="right"/>
        <w:rPr>
          <w:sz w:val="22"/>
          <w:szCs w:val="22"/>
        </w:rPr>
      </w:pPr>
      <w:r>
        <w:rPr>
          <w:sz w:val="22"/>
          <w:szCs w:val="22"/>
        </w:rPr>
        <w:t>Atlases</w:t>
      </w:r>
      <w:r w:rsidRPr="00275B18">
        <w:rPr>
          <w:sz w:val="22"/>
          <w:szCs w:val="22"/>
        </w:rPr>
        <w:t xml:space="preserve"> komisijas sēdē</w:t>
      </w:r>
    </w:p>
    <w:p w14:paraId="0D8CCFC3" w14:textId="160483DA" w:rsidR="00020359" w:rsidRPr="00275B18" w:rsidRDefault="00020359" w:rsidP="00724F6B">
      <w:pPr>
        <w:spacing w:after="120"/>
        <w:contextualSpacing/>
        <w:jc w:val="right"/>
        <w:rPr>
          <w:sz w:val="22"/>
          <w:szCs w:val="22"/>
        </w:rPr>
      </w:pPr>
      <w:r w:rsidRPr="00275B18">
        <w:rPr>
          <w:sz w:val="22"/>
          <w:szCs w:val="22"/>
        </w:rPr>
        <w:t>20</w:t>
      </w:r>
      <w:r w:rsidR="00950D32">
        <w:rPr>
          <w:sz w:val="22"/>
          <w:szCs w:val="22"/>
        </w:rPr>
        <w:t>19</w:t>
      </w:r>
      <w:r w:rsidRPr="00275B18">
        <w:rPr>
          <w:sz w:val="22"/>
          <w:szCs w:val="22"/>
        </w:rPr>
        <w:t xml:space="preserve">.gada </w:t>
      </w:r>
      <w:r w:rsidR="008112EC">
        <w:rPr>
          <w:sz w:val="22"/>
          <w:szCs w:val="22"/>
        </w:rPr>
        <w:t>3.septembra</w:t>
      </w:r>
      <w:bookmarkStart w:id="0" w:name="_GoBack"/>
      <w:bookmarkEnd w:id="0"/>
    </w:p>
    <w:p w14:paraId="6E0B24B5" w14:textId="77777777" w:rsidR="00020359" w:rsidRDefault="00020359" w:rsidP="00724F6B">
      <w:pPr>
        <w:spacing w:after="120"/>
        <w:contextualSpacing/>
        <w:jc w:val="right"/>
      </w:pPr>
      <w:r w:rsidRPr="00275B18">
        <w:rPr>
          <w:sz w:val="22"/>
          <w:szCs w:val="22"/>
        </w:rPr>
        <w:t>Protokols Nr.</w:t>
      </w:r>
      <w:r w:rsidRPr="007F1FB9">
        <w:rPr>
          <w:sz w:val="22"/>
          <w:szCs w:val="22"/>
          <w:highlight w:val="yellow"/>
        </w:rPr>
        <w:t>__</w:t>
      </w:r>
    </w:p>
    <w:p w14:paraId="3C8C2EC9" w14:textId="732757E2" w:rsidR="00020359" w:rsidRPr="00F9741B" w:rsidRDefault="00020359" w:rsidP="00724F6B">
      <w:pPr>
        <w:pStyle w:val="Heading1"/>
        <w:spacing w:after="120"/>
        <w:contextualSpacing/>
        <w:rPr>
          <w:rFonts w:ascii="Times New Roman" w:hAnsi="Times New Roman"/>
          <w:szCs w:val="28"/>
        </w:rPr>
      </w:pPr>
      <w:proofErr w:type="spellStart"/>
      <w:r w:rsidRPr="00F9741B">
        <w:rPr>
          <w:rFonts w:ascii="Times New Roman" w:hAnsi="Times New Roman"/>
          <w:szCs w:val="28"/>
        </w:rPr>
        <w:t>Portfeļgarantiju</w:t>
      </w:r>
      <w:proofErr w:type="spellEnd"/>
      <w:r w:rsidRPr="00F9741B">
        <w:rPr>
          <w:rFonts w:ascii="Times New Roman" w:hAnsi="Times New Roman"/>
          <w:szCs w:val="28"/>
        </w:rPr>
        <w:t xml:space="preserve"> programmas kredītiestāžu atlases </w:t>
      </w:r>
      <w:r w:rsidR="00734C35">
        <w:rPr>
          <w:rFonts w:ascii="Times New Roman" w:hAnsi="Times New Roman"/>
          <w:szCs w:val="28"/>
        </w:rPr>
        <w:t>otrās kārtas</w:t>
      </w:r>
    </w:p>
    <w:p w14:paraId="68EBB8BF" w14:textId="6E2A4DCC" w:rsidR="00751B39" w:rsidRDefault="00020359" w:rsidP="00724F6B">
      <w:pPr>
        <w:pStyle w:val="Heading1"/>
        <w:spacing w:after="120"/>
        <w:contextualSpacing/>
        <w:rPr>
          <w:rFonts w:ascii="Times New Roman" w:hAnsi="Times New Roman"/>
          <w:szCs w:val="28"/>
        </w:rPr>
      </w:pPr>
      <w:r w:rsidRPr="00F9741B">
        <w:rPr>
          <w:rFonts w:ascii="Times New Roman" w:hAnsi="Times New Roman"/>
          <w:szCs w:val="28"/>
        </w:rPr>
        <w:t>NOTEIKUMI</w:t>
      </w:r>
    </w:p>
    <w:p w14:paraId="67F76F5D" w14:textId="77777777" w:rsidR="00724F6B" w:rsidRPr="00724F6B" w:rsidRDefault="00724F6B" w:rsidP="00724F6B"/>
    <w:p w14:paraId="361B6E86" w14:textId="7CDC50D3" w:rsidR="008C114A" w:rsidRPr="00F9741B" w:rsidRDefault="008C114A" w:rsidP="00724F6B">
      <w:pPr>
        <w:numPr>
          <w:ilvl w:val="0"/>
          <w:numId w:val="1"/>
        </w:numPr>
        <w:spacing w:after="120"/>
        <w:rPr>
          <w:b/>
        </w:rPr>
      </w:pPr>
      <w:r w:rsidRPr="00F9741B">
        <w:rPr>
          <w:b/>
        </w:rPr>
        <w:t>Vispārīgā informācija</w:t>
      </w:r>
    </w:p>
    <w:p w14:paraId="6A92A76F" w14:textId="6CFE715F" w:rsidR="00466C8D" w:rsidRPr="000C2055" w:rsidRDefault="00466C8D" w:rsidP="00724F6B">
      <w:pPr>
        <w:numPr>
          <w:ilvl w:val="1"/>
          <w:numId w:val="1"/>
        </w:numPr>
        <w:tabs>
          <w:tab w:val="clear" w:pos="360"/>
          <w:tab w:val="left" w:pos="720"/>
        </w:tabs>
        <w:spacing w:after="120"/>
        <w:ind w:left="720" w:hanging="720"/>
        <w:jc w:val="both"/>
      </w:pPr>
      <w:r>
        <w:rPr>
          <w:b/>
        </w:rPr>
        <w:t>A</w:t>
      </w:r>
      <w:r w:rsidRPr="000C2055">
        <w:rPr>
          <w:b/>
        </w:rPr>
        <w:t>izdevumu portfelis</w:t>
      </w:r>
      <w:r w:rsidRPr="000C2055">
        <w:t xml:space="preserve"> – </w:t>
      </w:r>
      <w:r w:rsidR="006347A5">
        <w:t>Pretendenta</w:t>
      </w:r>
      <w:r w:rsidR="00C50437">
        <w:t xml:space="preserve"> </w:t>
      </w:r>
      <w:r w:rsidRPr="000C2055">
        <w:t xml:space="preserve">finanšu pakalpojumu kopums, kurā </w:t>
      </w:r>
      <w:r w:rsidR="00C50437">
        <w:t xml:space="preserve">ir </w:t>
      </w:r>
      <w:r w:rsidRPr="000C2055">
        <w:t xml:space="preserve">iekļauti </w:t>
      </w:r>
      <w:r w:rsidR="003E057B" w:rsidRPr="000C2055">
        <w:t xml:space="preserve">finanšu </w:t>
      </w:r>
      <w:proofErr w:type="spellStart"/>
      <w:r w:rsidR="003E057B" w:rsidRPr="000C2055">
        <w:t>pakalpojumi</w:t>
      </w:r>
      <w:r w:rsidR="003E057B">
        <w:t>.</w:t>
      </w:r>
      <w:r w:rsidRPr="000C2055">
        <w:t>atbilstoši</w:t>
      </w:r>
      <w:proofErr w:type="spellEnd"/>
      <w:r w:rsidRPr="000C2055">
        <w:t xml:space="preserve"> </w:t>
      </w:r>
      <w:r>
        <w:t>MK</w:t>
      </w:r>
      <w:r w:rsidRPr="000C2055">
        <w:t xml:space="preserve"> noteikumiem</w:t>
      </w:r>
      <w:r>
        <w:t xml:space="preserve"> Nr.537 un Līguma nosacījumiem</w:t>
      </w:r>
      <w:r w:rsidR="003E057B">
        <w:t>.</w:t>
      </w:r>
      <w:r>
        <w:t xml:space="preserve"> </w:t>
      </w:r>
    </w:p>
    <w:p w14:paraId="556BDD2D" w14:textId="77777777" w:rsidR="008C114A" w:rsidRPr="00F9741B" w:rsidRDefault="00020359" w:rsidP="00724F6B">
      <w:pPr>
        <w:numPr>
          <w:ilvl w:val="1"/>
          <w:numId w:val="1"/>
        </w:numPr>
        <w:tabs>
          <w:tab w:val="clear" w:pos="360"/>
        </w:tabs>
        <w:spacing w:after="120"/>
        <w:ind w:left="720" w:hanging="720"/>
        <w:jc w:val="both"/>
      </w:pPr>
      <w:r w:rsidRPr="00F9741B">
        <w:rPr>
          <w:b/>
        </w:rPr>
        <w:t>Atlases</w:t>
      </w:r>
      <w:r w:rsidR="008C114A" w:rsidRPr="00F9741B">
        <w:rPr>
          <w:b/>
        </w:rPr>
        <w:t xml:space="preserve"> organiz</w:t>
      </w:r>
      <w:r w:rsidR="004E7CB7" w:rsidRPr="00F9741B">
        <w:rPr>
          <w:b/>
        </w:rPr>
        <w:t>ētājs</w:t>
      </w:r>
      <w:r w:rsidR="008C114A" w:rsidRPr="00F9741B">
        <w:rPr>
          <w:b/>
        </w:rPr>
        <w:t xml:space="preserve"> –</w:t>
      </w:r>
      <w:r w:rsidR="00531000" w:rsidRPr="00F9741B">
        <w:t xml:space="preserve"> </w:t>
      </w:r>
      <w:r w:rsidR="002C4F31" w:rsidRPr="00F9741B">
        <w:t xml:space="preserve">akciju sabiedrība „Attīstības finanšu institūcija Altum” </w:t>
      </w:r>
      <w:r w:rsidR="00431EF1" w:rsidRPr="00F9741B">
        <w:t>(turpmāk –</w:t>
      </w:r>
      <w:r w:rsidR="00531000" w:rsidRPr="00F9741B">
        <w:t xml:space="preserve"> </w:t>
      </w:r>
      <w:r w:rsidR="002C4F31" w:rsidRPr="00F9741B">
        <w:t>Sabiedrība</w:t>
      </w:r>
      <w:r w:rsidR="00431EF1" w:rsidRPr="00F9741B">
        <w:t>)</w:t>
      </w:r>
      <w:r w:rsidR="001435F4" w:rsidRPr="00F9741B">
        <w:t>,</w:t>
      </w:r>
      <w:r w:rsidR="008C114A" w:rsidRPr="00F9741B">
        <w:t xml:space="preserve"> </w:t>
      </w:r>
      <w:r w:rsidR="00531000" w:rsidRPr="00F9741B">
        <w:t>reģ.</w:t>
      </w:r>
      <w:r w:rsidR="00E03576">
        <w:t>n</w:t>
      </w:r>
      <w:r w:rsidR="00531000" w:rsidRPr="00F9741B">
        <w:t>r.</w:t>
      </w:r>
      <w:r w:rsidR="00426B2A" w:rsidRPr="00F9741B">
        <w:t>50103744891</w:t>
      </w:r>
      <w:r w:rsidR="00807C1E" w:rsidRPr="00F9741B">
        <w:t xml:space="preserve">; </w:t>
      </w:r>
      <w:r w:rsidR="002C4F31" w:rsidRPr="00F9741B">
        <w:t xml:space="preserve"> </w:t>
      </w:r>
      <w:r w:rsidR="008C114A" w:rsidRPr="00F9741B">
        <w:t xml:space="preserve">adrese: </w:t>
      </w:r>
      <w:r w:rsidR="00531000" w:rsidRPr="00F9741B">
        <w:t>Doma laukums 4</w:t>
      </w:r>
      <w:r w:rsidR="008C114A" w:rsidRPr="00F9741B">
        <w:t>, Rīga, LV-</w:t>
      </w:r>
      <w:r w:rsidR="00426B2A" w:rsidRPr="00F9741B">
        <w:t>1050</w:t>
      </w:r>
      <w:r w:rsidR="008C114A" w:rsidRPr="00F9741B">
        <w:t>;</w:t>
      </w:r>
      <w:r w:rsidR="002C4F31" w:rsidRPr="00F9741B">
        <w:t xml:space="preserve"> tālrunis +371 6777 4010</w:t>
      </w:r>
      <w:r w:rsidR="008C114A" w:rsidRPr="00F9741B">
        <w:t>.</w:t>
      </w:r>
    </w:p>
    <w:p w14:paraId="2610E0AA" w14:textId="3BFC7967" w:rsidR="008A64F4" w:rsidRDefault="008A64F4" w:rsidP="00724F6B">
      <w:pPr>
        <w:numPr>
          <w:ilvl w:val="1"/>
          <w:numId w:val="1"/>
        </w:numPr>
        <w:tabs>
          <w:tab w:val="clear" w:pos="360"/>
          <w:tab w:val="left" w:pos="720"/>
        </w:tabs>
        <w:spacing w:after="120"/>
        <w:ind w:left="720" w:hanging="720"/>
        <w:jc w:val="both"/>
      </w:pPr>
      <w:r w:rsidRPr="00F9741B">
        <w:rPr>
          <w:b/>
        </w:rPr>
        <w:t>Atlases komisija</w:t>
      </w:r>
      <w:r w:rsidRPr="00F9741B">
        <w:t xml:space="preserve"> - atlasi organizē ar Sabiedrības valdes 201</w:t>
      </w:r>
      <w:r w:rsidR="00950D32">
        <w:t>9</w:t>
      </w:r>
      <w:r w:rsidRPr="00F9741B">
        <w:t xml:space="preserve">.gada </w:t>
      </w:r>
      <w:r w:rsidR="00611AD4">
        <w:t xml:space="preserve">7.augusta </w:t>
      </w:r>
      <w:r w:rsidRPr="00F9741B">
        <w:t>lēmumu (protokols Nr</w:t>
      </w:r>
      <w:r w:rsidR="00113E49" w:rsidRPr="00F9741B">
        <w:t>.</w:t>
      </w:r>
      <w:r w:rsidR="00611AD4">
        <w:t>51&amp;</w:t>
      </w:r>
      <w:r w:rsidR="00113E49" w:rsidRPr="00F9741B">
        <w:t xml:space="preserve">) </w:t>
      </w:r>
      <w:r w:rsidRPr="00F9741B">
        <w:t xml:space="preserve">izveidota </w:t>
      </w:r>
      <w:proofErr w:type="spellStart"/>
      <w:r w:rsidRPr="00F9741B">
        <w:t>portfeļgarantiju</w:t>
      </w:r>
      <w:proofErr w:type="spellEnd"/>
      <w:r w:rsidRPr="00F9741B">
        <w:t xml:space="preserve"> programmas kredītiestāžu atlases </w:t>
      </w:r>
      <w:r w:rsidR="00611AD4">
        <w:t xml:space="preserve">otrās kārtas </w:t>
      </w:r>
      <w:r w:rsidRPr="00F9741B">
        <w:t>komisija (turpmāk – Komisija).</w:t>
      </w:r>
    </w:p>
    <w:p w14:paraId="7033E133" w14:textId="63B6C10C" w:rsidR="00466C8D" w:rsidRPr="00F9741B" w:rsidRDefault="00466C8D" w:rsidP="00724F6B">
      <w:pPr>
        <w:numPr>
          <w:ilvl w:val="1"/>
          <w:numId w:val="1"/>
        </w:numPr>
        <w:tabs>
          <w:tab w:val="clear" w:pos="360"/>
          <w:tab w:val="left" w:pos="720"/>
        </w:tabs>
        <w:spacing w:after="120"/>
        <w:ind w:left="720" w:hanging="720"/>
        <w:jc w:val="both"/>
      </w:pPr>
      <w:r w:rsidRPr="00F9741B">
        <w:rPr>
          <w:b/>
        </w:rPr>
        <w:t>Atlases mērķis –</w:t>
      </w:r>
      <w:r w:rsidRPr="00F9741B">
        <w:t xml:space="preserve"> atklātā, pārredzamā, nediskriminējošā un objektīvā atlases procedūrā</w:t>
      </w:r>
      <w:r>
        <w:t>, ievērojot MK noteikumu Nr.537 17., 20.-25.punktu,</w:t>
      </w:r>
      <w:r w:rsidRPr="00F9741B">
        <w:t xml:space="preserve"> izvēlēties </w:t>
      </w:r>
      <w:r>
        <w:t>pretendentu</w:t>
      </w:r>
      <w:r w:rsidRPr="00F9741B">
        <w:t xml:space="preserve">, </w:t>
      </w:r>
      <w:r>
        <w:t xml:space="preserve">par kuru sniegtiem finanšu pakalpojumiem </w:t>
      </w:r>
      <w:r w:rsidRPr="00F9741B">
        <w:t xml:space="preserve">Sabiedrība sniedz </w:t>
      </w:r>
      <w:r w:rsidR="003E057B">
        <w:t>G</w:t>
      </w:r>
      <w:r w:rsidRPr="00F9741B">
        <w:t xml:space="preserve">arantiju </w:t>
      </w:r>
      <w:r>
        <w:rPr>
          <w:bCs/>
        </w:rPr>
        <w:t xml:space="preserve">MK noteikumos Nr.537 </w:t>
      </w:r>
      <w:r w:rsidRPr="00F9741B">
        <w:rPr>
          <w:bCs/>
        </w:rPr>
        <w:t>noteiktajā kārtībā</w:t>
      </w:r>
      <w:r w:rsidRPr="00F9741B">
        <w:t>.</w:t>
      </w:r>
    </w:p>
    <w:p w14:paraId="789B7FB7" w14:textId="77777777" w:rsidR="00466C8D" w:rsidRDefault="00466C8D" w:rsidP="00724F6B">
      <w:pPr>
        <w:numPr>
          <w:ilvl w:val="1"/>
          <w:numId w:val="1"/>
        </w:numPr>
        <w:tabs>
          <w:tab w:val="clear" w:pos="360"/>
          <w:tab w:val="left" w:pos="720"/>
        </w:tabs>
        <w:spacing w:after="120"/>
        <w:ind w:left="720" w:hanging="720"/>
        <w:jc w:val="both"/>
      </w:pPr>
      <w:r w:rsidRPr="00F9741B">
        <w:rPr>
          <w:b/>
        </w:rPr>
        <w:t>Atlases veids</w:t>
      </w:r>
      <w:r w:rsidRPr="00F9741B">
        <w:t xml:space="preserve"> – rakstiska.</w:t>
      </w:r>
    </w:p>
    <w:p w14:paraId="7BC978A2" w14:textId="77777777" w:rsidR="00466C8D" w:rsidRPr="00141D30" w:rsidRDefault="00466C8D" w:rsidP="00724F6B">
      <w:pPr>
        <w:numPr>
          <w:ilvl w:val="1"/>
          <w:numId w:val="1"/>
        </w:numPr>
        <w:tabs>
          <w:tab w:val="clear" w:pos="360"/>
          <w:tab w:val="left" w:pos="720"/>
        </w:tabs>
        <w:spacing w:after="120"/>
        <w:ind w:left="720" w:hanging="720"/>
        <w:jc w:val="both"/>
      </w:pPr>
      <w:bookmarkStart w:id="1" w:name="_Ref492382498"/>
      <w:bookmarkStart w:id="2" w:name="_Ref492573567"/>
      <w:r w:rsidRPr="00ED7AF0">
        <w:rPr>
          <w:b/>
        </w:rPr>
        <w:t>Finanšu pakalpojums</w:t>
      </w:r>
      <w:r w:rsidRPr="00141D30">
        <w:t xml:space="preserve"> - </w:t>
      </w:r>
      <w:r>
        <w:t>pretendenta</w:t>
      </w:r>
      <w:r w:rsidRPr="00141D30">
        <w:t xml:space="preserve"> izsniegti aizdevumi investīciju veikšanai un apgrozāmo līdzekļu finansēšanai, finanšu līzings</w:t>
      </w:r>
      <w:r>
        <w:t xml:space="preserve"> kā noteikts MK noteikumu nr.537 4.2.punktā un 9.1.- 9.3.punktā</w:t>
      </w:r>
      <w:bookmarkEnd w:id="1"/>
      <w:r>
        <w:t>.</w:t>
      </w:r>
      <w:bookmarkEnd w:id="2"/>
    </w:p>
    <w:p w14:paraId="59E08362" w14:textId="2B6253D5" w:rsidR="00466C8D" w:rsidRPr="0076029A" w:rsidRDefault="00466C8D" w:rsidP="00724F6B">
      <w:pPr>
        <w:numPr>
          <w:ilvl w:val="1"/>
          <w:numId w:val="1"/>
        </w:numPr>
        <w:tabs>
          <w:tab w:val="clear" w:pos="360"/>
          <w:tab w:val="left" w:pos="720"/>
        </w:tabs>
        <w:spacing w:after="120"/>
        <w:ind w:left="720" w:hanging="720"/>
        <w:jc w:val="both"/>
      </w:pPr>
      <w:r w:rsidRPr="0076029A">
        <w:rPr>
          <w:b/>
        </w:rPr>
        <w:t>Garantija</w:t>
      </w:r>
      <w:r w:rsidRPr="0076029A">
        <w:t xml:space="preserve"> – </w:t>
      </w:r>
      <w:r>
        <w:t>Sabiedrības</w:t>
      </w:r>
      <w:r w:rsidRPr="0076029A">
        <w:t xml:space="preserve"> saistības MK noteikumos Nr.537 un Līgum</w:t>
      </w:r>
      <w:r>
        <w:t>ā</w:t>
      </w:r>
      <w:r w:rsidRPr="0076029A">
        <w:t xml:space="preserve"> noteiktajā apmērā segt </w:t>
      </w:r>
      <w:r>
        <w:t>pretendenta</w:t>
      </w:r>
      <w:r w:rsidRPr="0076029A">
        <w:t xml:space="preserve"> zaudējumus, kas radušies komersanta saistību nepildīšanas gadījumā par komersantam sniegtu finanšu pakalpojumu</w:t>
      </w:r>
      <w:r>
        <w:t>.</w:t>
      </w:r>
    </w:p>
    <w:p w14:paraId="2093DBA5" w14:textId="352A61D2" w:rsidR="00466C8D" w:rsidRPr="0076029A" w:rsidRDefault="00466C8D" w:rsidP="00724F6B">
      <w:pPr>
        <w:numPr>
          <w:ilvl w:val="1"/>
          <w:numId w:val="1"/>
        </w:numPr>
        <w:tabs>
          <w:tab w:val="clear" w:pos="360"/>
          <w:tab w:val="left" w:pos="720"/>
        </w:tabs>
        <w:spacing w:after="120"/>
        <w:ind w:left="720" w:hanging="720"/>
        <w:jc w:val="both"/>
      </w:pPr>
      <w:r w:rsidRPr="0076029A">
        <w:rPr>
          <w:b/>
        </w:rPr>
        <w:t>Garantijas gadījums</w:t>
      </w:r>
      <w:r w:rsidRPr="0076029A">
        <w:t xml:space="preserve"> – tādu apstākļu iestāšanās </w:t>
      </w:r>
      <w:r>
        <w:t>g</w:t>
      </w:r>
      <w:r w:rsidRPr="0076029A">
        <w:t xml:space="preserve">arantijas termiņa laikā, kas </w:t>
      </w:r>
      <w:r>
        <w:t>pretendentam</w:t>
      </w:r>
      <w:r w:rsidRPr="0076029A">
        <w:t xml:space="preserve"> rada līgumiskas vai likumiskas tiesības pieprasīt </w:t>
      </w:r>
      <w:r>
        <w:t xml:space="preserve">finanšu pakalpojuma </w:t>
      </w:r>
      <w:r w:rsidRPr="0076029A">
        <w:t xml:space="preserve">pamatsummas atmaksu no </w:t>
      </w:r>
      <w:r>
        <w:t>k</w:t>
      </w:r>
      <w:r w:rsidRPr="0076029A">
        <w:t xml:space="preserve">omersanta saskaņā ar </w:t>
      </w:r>
      <w:r>
        <w:t>f</w:t>
      </w:r>
      <w:r w:rsidRPr="0076029A">
        <w:t xml:space="preserve">inanšu pakalpojuma līgumu, un </w:t>
      </w:r>
      <w:r>
        <w:t xml:space="preserve">pretendents </w:t>
      </w:r>
      <w:r w:rsidRPr="0076029A">
        <w:t>ir pieprasīj</w:t>
      </w:r>
      <w:r>
        <w:t>is</w:t>
      </w:r>
      <w:r w:rsidRPr="0076029A">
        <w:t xml:space="preserve"> </w:t>
      </w:r>
      <w:r>
        <w:t>finanšu p</w:t>
      </w:r>
      <w:r w:rsidRPr="0076029A">
        <w:t>a</w:t>
      </w:r>
      <w:r>
        <w:t>kalpojuma</w:t>
      </w:r>
      <w:r w:rsidRPr="0076029A">
        <w:t xml:space="preserve"> pamatsummas parāda samaksu, bet tā nav veikta </w:t>
      </w:r>
      <w:r>
        <w:t xml:space="preserve">pretendenta </w:t>
      </w:r>
      <w:r w:rsidRPr="0076029A">
        <w:t xml:space="preserve">noteiktajā termiņā. Garantijas gadījums ir iestājies arī tad, ja </w:t>
      </w:r>
      <w:r>
        <w:t>k</w:t>
      </w:r>
      <w:r w:rsidRPr="0076029A">
        <w:t xml:space="preserve">omersants nav veicis </w:t>
      </w:r>
      <w:r>
        <w:t>finanšu pakalpojuma</w:t>
      </w:r>
      <w:r w:rsidRPr="0076029A">
        <w:t xml:space="preserve"> pamatsummas atmaksu </w:t>
      </w:r>
      <w:r>
        <w:t>f</w:t>
      </w:r>
      <w:r w:rsidRPr="0076029A">
        <w:t>inanšu pakalpojuma līgumā norādītajā galīgajā apmaksas termiņā</w:t>
      </w:r>
      <w:r>
        <w:t>.</w:t>
      </w:r>
    </w:p>
    <w:p w14:paraId="69BC639F" w14:textId="1EAEA0B0" w:rsidR="00466C8D" w:rsidRPr="0076029A" w:rsidRDefault="00466C8D" w:rsidP="00724F6B">
      <w:pPr>
        <w:numPr>
          <w:ilvl w:val="1"/>
          <w:numId w:val="1"/>
        </w:numPr>
        <w:tabs>
          <w:tab w:val="clear" w:pos="360"/>
          <w:tab w:val="left" w:pos="720"/>
        </w:tabs>
        <w:spacing w:after="120"/>
        <w:ind w:left="720" w:hanging="720"/>
        <w:jc w:val="both"/>
      </w:pPr>
      <w:r w:rsidRPr="0076029A">
        <w:rPr>
          <w:b/>
        </w:rPr>
        <w:t>Garantijas likme</w:t>
      </w:r>
      <w:r w:rsidRPr="0076029A">
        <w:t xml:space="preserve"> – procentos izteikta </w:t>
      </w:r>
      <w:r>
        <w:t>pretendenta</w:t>
      </w:r>
      <w:r w:rsidRPr="0076029A">
        <w:t xml:space="preserve"> zaudējumu daļa, ko </w:t>
      </w:r>
      <w:r w:rsidR="00DF726F">
        <w:t xml:space="preserve">garantētam Finanšu pakalpojumam </w:t>
      </w:r>
      <w:r w:rsidRPr="0076029A">
        <w:t>sedz garantija</w:t>
      </w:r>
      <w:r>
        <w:t>.</w:t>
      </w:r>
      <w:r w:rsidRPr="0076029A">
        <w:t xml:space="preserve"> </w:t>
      </w:r>
    </w:p>
    <w:p w14:paraId="7F5AD15D" w14:textId="25D9F977" w:rsidR="00466C8D" w:rsidRPr="00565C2A" w:rsidRDefault="00466C8D" w:rsidP="00724F6B">
      <w:pPr>
        <w:numPr>
          <w:ilvl w:val="1"/>
          <w:numId w:val="1"/>
        </w:numPr>
        <w:tabs>
          <w:tab w:val="clear" w:pos="360"/>
          <w:tab w:val="left" w:pos="720"/>
        </w:tabs>
        <w:spacing w:after="120"/>
        <w:ind w:left="720" w:hanging="720"/>
        <w:jc w:val="both"/>
      </w:pPr>
      <w:r w:rsidRPr="00565C2A">
        <w:rPr>
          <w:b/>
        </w:rPr>
        <w:t>Garantijas prēmija</w:t>
      </w:r>
      <w:r w:rsidRPr="00565C2A">
        <w:t xml:space="preserve"> – maksa par garantiju, kuru Sabiedrībai maksā pretendents. </w:t>
      </w:r>
    </w:p>
    <w:p w14:paraId="0A791259" w14:textId="4DDEFC12" w:rsidR="00466C8D" w:rsidRPr="0076029A" w:rsidRDefault="00466C8D" w:rsidP="00724F6B">
      <w:pPr>
        <w:numPr>
          <w:ilvl w:val="1"/>
          <w:numId w:val="1"/>
        </w:numPr>
        <w:tabs>
          <w:tab w:val="clear" w:pos="360"/>
          <w:tab w:val="left" w:pos="720"/>
        </w:tabs>
        <w:spacing w:after="120"/>
        <w:ind w:left="720" w:hanging="720"/>
        <w:jc w:val="both"/>
      </w:pPr>
      <w:r w:rsidRPr="0076029A">
        <w:rPr>
          <w:b/>
        </w:rPr>
        <w:t>Garant</w:t>
      </w:r>
      <w:r>
        <w:rPr>
          <w:b/>
        </w:rPr>
        <w:t>iju</w:t>
      </w:r>
      <w:r w:rsidRPr="0076029A">
        <w:rPr>
          <w:b/>
        </w:rPr>
        <w:t xml:space="preserve"> portfelis</w:t>
      </w:r>
      <w:r w:rsidRPr="0076029A">
        <w:t xml:space="preserve"> – aizdevumu portfelī iekļautajiem finanšu pakalpojumiem izsniegto garantiju kopums</w:t>
      </w:r>
      <w:r>
        <w:t>.</w:t>
      </w:r>
      <w:r w:rsidRPr="0076029A">
        <w:t xml:space="preserve"> </w:t>
      </w:r>
    </w:p>
    <w:p w14:paraId="7960D767" w14:textId="7E7927A9" w:rsidR="00466C8D" w:rsidRPr="0076029A" w:rsidRDefault="00466C8D" w:rsidP="00724F6B">
      <w:pPr>
        <w:numPr>
          <w:ilvl w:val="1"/>
          <w:numId w:val="1"/>
        </w:numPr>
        <w:tabs>
          <w:tab w:val="clear" w:pos="360"/>
          <w:tab w:val="left" w:pos="720"/>
        </w:tabs>
        <w:spacing w:after="120"/>
        <w:ind w:left="720" w:hanging="720"/>
        <w:jc w:val="both"/>
      </w:pPr>
      <w:r w:rsidRPr="0076029A">
        <w:rPr>
          <w:b/>
        </w:rPr>
        <w:t>Ierobežotā garantijas likme (</w:t>
      </w:r>
      <w:proofErr w:type="spellStart"/>
      <w:r w:rsidRPr="0076029A">
        <w:rPr>
          <w:b/>
          <w:i/>
        </w:rPr>
        <w:t>guarantee</w:t>
      </w:r>
      <w:proofErr w:type="spellEnd"/>
      <w:r w:rsidRPr="0076029A">
        <w:rPr>
          <w:b/>
          <w:i/>
        </w:rPr>
        <w:t xml:space="preserve"> </w:t>
      </w:r>
      <w:proofErr w:type="spellStart"/>
      <w:r w:rsidRPr="0076029A">
        <w:rPr>
          <w:b/>
          <w:i/>
        </w:rPr>
        <w:t>cap</w:t>
      </w:r>
      <w:proofErr w:type="spellEnd"/>
      <w:r w:rsidRPr="0076029A">
        <w:rPr>
          <w:b/>
          <w:i/>
        </w:rPr>
        <w:t xml:space="preserve"> </w:t>
      </w:r>
      <w:proofErr w:type="spellStart"/>
      <w:r w:rsidRPr="0076029A">
        <w:rPr>
          <w:b/>
          <w:i/>
        </w:rPr>
        <w:t>rate</w:t>
      </w:r>
      <w:proofErr w:type="spellEnd"/>
      <w:r w:rsidRPr="0076029A">
        <w:rPr>
          <w:b/>
        </w:rPr>
        <w:t>)</w:t>
      </w:r>
      <w:r w:rsidRPr="0076029A">
        <w:t xml:space="preserve"> - procentos izteikta </w:t>
      </w:r>
      <w:r>
        <w:t>garan</w:t>
      </w:r>
      <w:r w:rsidRPr="0076029A">
        <w:t>t</w:t>
      </w:r>
      <w:r>
        <w:t xml:space="preserve">iju </w:t>
      </w:r>
      <w:r w:rsidRPr="0076029A">
        <w:t xml:space="preserve">portfeļa daļa, kuru </w:t>
      </w:r>
      <w:r>
        <w:t xml:space="preserve">zaudējumu gadījumā </w:t>
      </w:r>
      <w:r w:rsidRPr="0076029A">
        <w:t xml:space="preserve">sedz </w:t>
      </w:r>
      <w:proofErr w:type="spellStart"/>
      <w:r w:rsidRPr="0076029A">
        <w:t>portfeļgarantija</w:t>
      </w:r>
      <w:proofErr w:type="spellEnd"/>
      <w:r>
        <w:t>.</w:t>
      </w:r>
    </w:p>
    <w:p w14:paraId="04315B6A" w14:textId="75ECA9D6" w:rsidR="00466C8D" w:rsidRPr="0076029A" w:rsidRDefault="00466C8D" w:rsidP="00724F6B">
      <w:pPr>
        <w:numPr>
          <w:ilvl w:val="1"/>
          <w:numId w:val="1"/>
        </w:numPr>
        <w:tabs>
          <w:tab w:val="clear" w:pos="360"/>
          <w:tab w:val="left" w:pos="720"/>
        </w:tabs>
        <w:spacing w:after="120"/>
        <w:ind w:left="720" w:hanging="720"/>
        <w:jc w:val="both"/>
      </w:pPr>
      <w:r w:rsidRPr="0076029A">
        <w:rPr>
          <w:b/>
        </w:rPr>
        <w:t>Ierobežotā garantijas summa (</w:t>
      </w:r>
      <w:proofErr w:type="spellStart"/>
      <w:r w:rsidRPr="0076029A">
        <w:rPr>
          <w:b/>
          <w:i/>
        </w:rPr>
        <w:t>guarantee</w:t>
      </w:r>
      <w:proofErr w:type="spellEnd"/>
      <w:r w:rsidRPr="0076029A">
        <w:rPr>
          <w:b/>
          <w:i/>
        </w:rPr>
        <w:t xml:space="preserve"> </w:t>
      </w:r>
      <w:proofErr w:type="spellStart"/>
      <w:r w:rsidRPr="0076029A">
        <w:rPr>
          <w:b/>
          <w:i/>
        </w:rPr>
        <w:t>cap</w:t>
      </w:r>
      <w:proofErr w:type="spellEnd"/>
      <w:r w:rsidRPr="0076029A">
        <w:rPr>
          <w:b/>
          <w:i/>
        </w:rPr>
        <w:t xml:space="preserve"> </w:t>
      </w:r>
      <w:proofErr w:type="spellStart"/>
      <w:r w:rsidRPr="0076029A">
        <w:rPr>
          <w:b/>
          <w:i/>
        </w:rPr>
        <w:t>amount</w:t>
      </w:r>
      <w:proofErr w:type="spellEnd"/>
      <w:r w:rsidRPr="0076029A">
        <w:t>) –</w:t>
      </w:r>
      <w:r>
        <w:t xml:space="preserve"> garantiju </w:t>
      </w:r>
      <w:r w:rsidRPr="0076029A">
        <w:t xml:space="preserve">portfeļa maksimālā zaudējumu summa, kuru sedz </w:t>
      </w:r>
      <w:proofErr w:type="spellStart"/>
      <w:r w:rsidRPr="0076029A">
        <w:t>portfeļgarantija</w:t>
      </w:r>
      <w:proofErr w:type="spellEnd"/>
      <w:r w:rsidRPr="0076029A">
        <w:t xml:space="preserve">. Ierobežoto garantijas summu aprēķina kā </w:t>
      </w:r>
      <w:r>
        <w:t>pretendenta</w:t>
      </w:r>
      <w:r w:rsidRPr="0076029A">
        <w:t xml:space="preserve"> aizdevumu portfeļa (maksimāli izmaksāto finanšu pakalpojumu summa), garantijas likmes un ierobežotās garantijas likmes reizinājumu</w:t>
      </w:r>
      <w:r>
        <w:t>.</w:t>
      </w:r>
    </w:p>
    <w:p w14:paraId="7FE9DBF3" w14:textId="4A9E7C8A" w:rsidR="00466C8D" w:rsidRDefault="00466C8D" w:rsidP="00724F6B">
      <w:pPr>
        <w:numPr>
          <w:ilvl w:val="1"/>
          <w:numId w:val="1"/>
        </w:numPr>
        <w:tabs>
          <w:tab w:val="clear" w:pos="360"/>
          <w:tab w:val="left" w:pos="720"/>
        </w:tabs>
        <w:spacing w:after="120"/>
        <w:ind w:left="720" w:hanging="720"/>
        <w:jc w:val="both"/>
      </w:pPr>
      <w:r>
        <w:rPr>
          <w:b/>
        </w:rPr>
        <w:lastRenderedPageBreak/>
        <w:t>Komersants</w:t>
      </w:r>
      <w:r>
        <w:t xml:space="preserve"> – sīkais, mazais vai vidējais komersants</w:t>
      </w:r>
      <w:r>
        <w:rPr>
          <w:rStyle w:val="FootnoteReference"/>
        </w:rPr>
        <w:footnoteReference w:id="1"/>
      </w:r>
      <w:r>
        <w:t xml:space="preserve"> kā noteikts MK noteikumu Nr.537 10.1.punktā, kas saņem Pretendenta sniegtu finanšu pakalpojumu ar Sabiedrības piešķirtu garantiju </w:t>
      </w:r>
      <w:proofErr w:type="spellStart"/>
      <w:r>
        <w:t>Portfeļgarantijas</w:t>
      </w:r>
      <w:proofErr w:type="spellEnd"/>
      <w:r>
        <w:t xml:space="preserve"> programmas ietvaros.</w:t>
      </w:r>
    </w:p>
    <w:p w14:paraId="6F9C497D" w14:textId="77777777" w:rsidR="00466C8D" w:rsidRPr="0076029A" w:rsidRDefault="00466C8D" w:rsidP="00724F6B">
      <w:pPr>
        <w:numPr>
          <w:ilvl w:val="1"/>
          <w:numId w:val="1"/>
        </w:numPr>
        <w:tabs>
          <w:tab w:val="clear" w:pos="360"/>
          <w:tab w:val="left" w:pos="720"/>
        </w:tabs>
        <w:spacing w:after="120"/>
        <w:ind w:left="720" w:hanging="720"/>
        <w:jc w:val="both"/>
      </w:pPr>
      <w:r w:rsidRPr="0076029A">
        <w:rPr>
          <w:b/>
        </w:rPr>
        <w:t xml:space="preserve">Kontaktpersona – </w:t>
      </w:r>
      <w:r w:rsidRPr="0076029A">
        <w:t>persona, kura</w:t>
      </w:r>
      <w:r>
        <w:t xml:space="preserve"> ir</w:t>
      </w:r>
      <w:r w:rsidRPr="0076029A">
        <w:rPr>
          <w:b/>
        </w:rPr>
        <w:t xml:space="preserve"> </w:t>
      </w:r>
      <w:r w:rsidRPr="0076029A">
        <w:t xml:space="preserve">pilnvarota sniegt </w:t>
      </w:r>
      <w:smartTag w:uri="schemas-tilde-lv/tildestengine" w:element="veidnes">
        <w:smartTagPr>
          <w:attr w:name="baseform" w:val="paskaidrojum|s"/>
          <w:attr w:name="id" w:val="-1"/>
          <w:attr w:name="text" w:val="paskaidrojumus"/>
        </w:smartTagPr>
        <w:r w:rsidRPr="0076029A">
          <w:t>paskaidrojumus</w:t>
        </w:r>
      </w:smartTag>
      <w:r w:rsidRPr="0076029A">
        <w:t xml:space="preserve"> par atlases noteikumiem un saņemt dalībnieku </w:t>
      </w:r>
      <w:smartTag w:uri="schemas-tilde-lv/tildestengine" w:element="veidnes">
        <w:smartTagPr>
          <w:attr w:name="baseform" w:val="pieteikum|s"/>
          <w:attr w:name="id" w:val="-1"/>
          <w:attr w:name="text" w:val="pieteikumus"/>
        </w:smartTagPr>
        <w:r w:rsidRPr="0076029A">
          <w:t>pieteikumus</w:t>
        </w:r>
      </w:smartTag>
      <w:r w:rsidRPr="0076029A">
        <w:t>: Aleksandrs Margevičs, tālr. +371 67774276, e-pasts: aleksandrs.margevics@altum.lv.</w:t>
      </w:r>
    </w:p>
    <w:p w14:paraId="4F087171" w14:textId="1238C458" w:rsidR="00466C8D" w:rsidRDefault="00466C8D" w:rsidP="00724F6B">
      <w:pPr>
        <w:numPr>
          <w:ilvl w:val="1"/>
          <w:numId w:val="1"/>
        </w:numPr>
        <w:tabs>
          <w:tab w:val="clear" w:pos="360"/>
          <w:tab w:val="left" w:pos="720"/>
        </w:tabs>
        <w:spacing w:after="120"/>
        <w:ind w:left="720" w:hanging="720"/>
        <w:jc w:val="both"/>
      </w:pPr>
      <w:r w:rsidRPr="0076029A">
        <w:rPr>
          <w:b/>
        </w:rPr>
        <w:t xml:space="preserve">Kreditēšanas stratēģija </w:t>
      </w:r>
      <w:r w:rsidRPr="0076029A">
        <w:t xml:space="preserve">– </w:t>
      </w:r>
      <w:r>
        <w:t>p</w:t>
      </w:r>
      <w:r w:rsidRPr="0076029A">
        <w:t xml:space="preserve">retendenta </w:t>
      </w:r>
      <w:r w:rsidR="00B04609">
        <w:t>pieteikums</w:t>
      </w:r>
      <w:r w:rsidRPr="0076029A">
        <w:t xml:space="preserve"> </w:t>
      </w:r>
      <w:proofErr w:type="spellStart"/>
      <w:r>
        <w:t>P</w:t>
      </w:r>
      <w:r w:rsidRPr="0076029A">
        <w:t>ortfeļgarantij</w:t>
      </w:r>
      <w:r>
        <w:t>u</w:t>
      </w:r>
      <w:proofErr w:type="spellEnd"/>
      <w:r w:rsidRPr="0076029A">
        <w:t xml:space="preserve"> programma</w:t>
      </w:r>
      <w:r>
        <w:t>s ieviešanai</w:t>
      </w:r>
      <w:r w:rsidRPr="0076029A">
        <w:t xml:space="preserve"> (pielikums nr.</w:t>
      </w:r>
      <w:r w:rsidRPr="00D8354F">
        <w:t>3</w:t>
      </w:r>
      <w:r w:rsidRPr="0076029A">
        <w:t>)</w:t>
      </w:r>
      <w:r>
        <w:t>.</w:t>
      </w:r>
    </w:p>
    <w:p w14:paraId="5B15E828" w14:textId="186F7B42" w:rsidR="00466C8D" w:rsidRPr="00F9741B" w:rsidRDefault="00466C8D" w:rsidP="00724F6B">
      <w:pPr>
        <w:numPr>
          <w:ilvl w:val="1"/>
          <w:numId w:val="1"/>
        </w:numPr>
        <w:tabs>
          <w:tab w:val="clear" w:pos="360"/>
          <w:tab w:val="left" w:pos="720"/>
        </w:tabs>
        <w:spacing w:after="120"/>
        <w:ind w:left="720" w:hanging="720"/>
        <w:jc w:val="both"/>
      </w:pPr>
      <w:r>
        <w:rPr>
          <w:b/>
        </w:rPr>
        <w:t xml:space="preserve">Līgums </w:t>
      </w:r>
      <w:r>
        <w:t xml:space="preserve">– Sabiedrības </w:t>
      </w:r>
      <w:r w:rsidRPr="00C34095">
        <w:t xml:space="preserve">un </w:t>
      </w:r>
      <w:r>
        <w:t>p</w:t>
      </w:r>
      <w:r w:rsidRPr="00C34095">
        <w:t xml:space="preserve">retendenta vienošanās par </w:t>
      </w:r>
      <w:proofErr w:type="spellStart"/>
      <w:r>
        <w:t>P</w:t>
      </w:r>
      <w:r w:rsidRPr="00C34095">
        <w:t>ortfeļgarantiju</w:t>
      </w:r>
      <w:proofErr w:type="spellEnd"/>
      <w:r w:rsidRPr="00C34095">
        <w:t xml:space="preserve"> programmas ieviešanu saskaņā ar  MK noteikumu </w:t>
      </w:r>
      <w:r>
        <w:t>N</w:t>
      </w:r>
      <w:r w:rsidRPr="00C34095">
        <w:t>r.</w:t>
      </w:r>
      <w:r>
        <w:t xml:space="preserve">537 </w:t>
      </w:r>
      <w:r w:rsidRPr="00C34095">
        <w:t>7.punktu</w:t>
      </w:r>
      <w:r>
        <w:t xml:space="preserve">. </w:t>
      </w:r>
    </w:p>
    <w:p w14:paraId="197A3580" w14:textId="77777777" w:rsidR="00466C8D" w:rsidRDefault="00466C8D" w:rsidP="00724F6B">
      <w:pPr>
        <w:numPr>
          <w:ilvl w:val="1"/>
          <w:numId w:val="1"/>
        </w:numPr>
        <w:tabs>
          <w:tab w:val="clear" w:pos="360"/>
          <w:tab w:val="left" w:pos="720"/>
        </w:tabs>
        <w:spacing w:after="120"/>
        <w:ind w:left="720" w:hanging="720"/>
        <w:jc w:val="both"/>
      </w:pPr>
      <w:proofErr w:type="spellStart"/>
      <w:r>
        <w:rPr>
          <w:b/>
        </w:rPr>
        <w:t>P</w:t>
      </w:r>
      <w:r w:rsidRPr="000C2055">
        <w:rPr>
          <w:b/>
        </w:rPr>
        <w:t>ortfeļgarantija</w:t>
      </w:r>
      <w:proofErr w:type="spellEnd"/>
      <w:r w:rsidRPr="000C2055">
        <w:t xml:space="preserve"> – finanšu instruments, kas nodrošina aizdevumu portfeļa zaudējumu segšanu atbilstoši garantijas likmei, nepārsniedzot ierobežotās garantijas summu</w:t>
      </w:r>
      <w:r>
        <w:t>.</w:t>
      </w:r>
    </w:p>
    <w:p w14:paraId="7087A103" w14:textId="1BC9C47F" w:rsidR="00BE3986" w:rsidRDefault="00BE3986" w:rsidP="00724F6B">
      <w:pPr>
        <w:numPr>
          <w:ilvl w:val="1"/>
          <w:numId w:val="1"/>
        </w:numPr>
        <w:tabs>
          <w:tab w:val="clear" w:pos="360"/>
          <w:tab w:val="left" w:pos="720"/>
        </w:tabs>
        <w:spacing w:after="120"/>
        <w:ind w:left="720" w:hanging="720"/>
        <w:jc w:val="both"/>
      </w:pPr>
      <w:proofErr w:type="spellStart"/>
      <w:r>
        <w:rPr>
          <w:b/>
        </w:rPr>
        <w:t>Portfeļgarantiju</w:t>
      </w:r>
      <w:proofErr w:type="spellEnd"/>
      <w:r>
        <w:rPr>
          <w:b/>
        </w:rPr>
        <w:t xml:space="preserve"> programma</w:t>
      </w:r>
      <w:r w:rsidRPr="006640A7">
        <w:t>-</w:t>
      </w:r>
      <w:r>
        <w:t xml:space="preserve"> valsts atbalsta programma, kuras nosacījumi noteikti </w:t>
      </w:r>
      <w:r w:rsidRPr="00F9741B">
        <w:t>Ministru kabineta 2017</w:t>
      </w:r>
      <w:r>
        <w:t xml:space="preserve">.gada </w:t>
      </w:r>
      <w:r w:rsidRPr="008F391C">
        <w:t>05.septembra</w:t>
      </w:r>
      <w:r>
        <w:t xml:space="preserve"> noteikumos</w:t>
      </w:r>
      <w:r w:rsidRPr="00F9741B">
        <w:t xml:space="preserve"> </w:t>
      </w:r>
      <w:r w:rsidR="00724BBE">
        <w:t xml:space="preserve">Nr.537 </w:t>
      </w:r>
      <w:r w:rsidRPr="00F9741B">
        <w:t>“</w:t>
      </w:r>
      <w:r w:rsidRPr="00F9741B">
        <w:rPr>
          <w:bCs/>
        </w:rPr>
        <w:t xml:space="preserve">Noteikumi par </w:t>
      </w:r>
      <w:proofErr w:type="spellStart"/>
      <w:r w:rsidRPr="00F9741B">
        <w:rPr>
          <w:bCs/>
        </w:rPr>
        <w:t>portfeļgarantijām</w:t>
      </w:r>
      <w:proofErr w:type="spellEnd"/>
      <w:r w:rsidRPr="00F9741B">
        <w:rPr>
          <w:bCs/>
        </w:rPr>
        <w:t xml:space="preserve"> sīko, mazo un vidējo komersantu kreditēšanas veicināšanai” </w:t>
      </w:r>
      <w:r>
        <w:rPr>
          <w:bCs/>
        </w:rPr>
        <w:t xml:space="preserve">(turpmāk- MK noteikumi </w:t>
      </w:r>
      <w:r w:rsidR="00724BBE">
        <w:rPr>
          <w:bCs/>
        </w:rPr>
        <w:t>Nr.537</w:t>
      </w:r>
      <w:r w:rsidR="002B0DEF">
        <w:rPr>
          <w:bCs/>
        </w:rPr>
        <w:t>)</w:t>
      </w:r>
      <w:r w:rsidR="00724BBE">
        <w:rPr>
          <w:bCs/>
        </w:rPr>
        <w:t>.</w:t>
      </w:r>
    </w:p>
    <w:p w14:paraId="07E8F046" w14:textId="4B181EF9" w:rsidR="007373E6" w:rsidRDefault="007373E6" w:rsidP="00724F6B">
      <w:pPr>
        <w:numPr>
          <w:ilvl w:val="1"/>
          <w:numId w:val="1"/>
        </w:numPr>
        <w:tabs>
          <w:tab w:val="clear" w:pos="360"/>
          <w:tab w:val="left" w:pos="720"/>
        </w:tabs>
        <w:spacing w:after="120"/>
        <w:ind w:left="720" w:hanging="720"/>
        <w:jc w:val="both"/>
      </w:pPr>
      <w:bookmarkStart w:id="3" w:name="_Ref493594404"/>
      <w:r>
        <w:rPr>
          <w:b/>
        </w:rPr>
        <w:t xml:space="preserve">Pretendents </w:t>
      </w:r>
      <w:r w:rsidR="00141D30">
        <w:t>–</w:t>
      </w:r>
      <w:r>
        <w:t xml:space="preserve"> </w:t>
      </w:r>
      <w:r w:rsidRPr="00F9741B">
        <w:t>kredītiestāde vai kredītiestādes meitas sabiedrība</w:t>
      </w:r>
      <w:r w:rsidR="001676A1">
        <w:t xml:space="preserve"> </w:t>
      </w:r>
      <w:bookmarkStart w:id="4" w:name="_Hlk493594752"/>
      <w:r w:rsidR="001676A1">
        <w:t>(vai šo personu apvienība)</w:t>
      </w:r>
      <w:r w:rsidRPr="00F9741B">
        <w:t xml:space="preserve">, kura reģistrēta Latvijā un </w:t>
      </w:r>
      <w:r w:rsidR="00B305CA">
        <w:t xml:space="preserve">kura </w:t>
      </w:r>
      <w:r w:rsidRPr="00F9741B">
        <w:t>ir tiesīga sniegt finanšu pakalpojumus Latvijā</w:t>
      </w:r>
      <w:r w:rsidR="006C2311">
        <w:t xml:space="preserve"> </w:t>
      </w:r>
      <w:bookmarkEnd w:id="4"/>
      <w:r w:rsidR="008F391C">
        <w:t xml:space="preserve">kā noteikts </w:t>
      </w:r>
      <w:r w:rsidR="00BE3986">
        <w:t xml:space="preserve">MK noteikumu </w:t>
      </w:r>
      <w:r w:rsidR="009D5732">
        <w:t>Nr</w:t>
      </w:r>
      <w:r w:rsidR="00BE3986">
        <w:t>.</w:t>
      </w:r>
      <w:r w:rsidR="00B84BE0">
        <w:t xml:space="preserve">537 </w:t>
      </w:r>
      <w:r w:rsidR="00BE3986">
        <w:t>1</w:t>
      </w:r>
      <w:r w:rsidR="00B84BE0">
        <w:t>6</w:t>
      </w:r>
      <w:r w:rsidR="00BE3986">
        <w:t>.punktā.</w:t>
      </w:r>
      <w:bookmarkEnd w:id="3"/>
      <w:r w:rsidR="007C44EC">
        <w:t xml:space="preserve"> </w:t>
      </w:r>
    </w:p>
    <w:p w14:paraId="66503648" w14:textId="31734B5E" w:rsidR="000B7EC7" w:rsidRPr="00FD26E0" w:rsidRDefault="00D34E2D" w:rsidP="00724F6B">
      <w:pPr>
        <w:numPr>
          <w:ilvl w:val="1"/>
          <w:numId w:val="1"/>
        </w:numPr>
        <w:tabs>
          <w:tab w:val="clear" w:pos="360"/>
          <w:tab w:val="left" w:pos="720"/>
        </w:tabs>
        <w:spacing w:after="120"/>
        <w:ind w:left="720" w:hanging="720"/>
        <w:jc w:val="both"/>
      </w:pPr>
      <w:r w:rsidRPr="00FD26E0">
        <w:rPr>
          <w:b/>
        </w:rPr>
        <w:t>Puses –</w:t>
      </w:r>
      <w:r w:rsidRPr="00FD26E0">
        <w:t xml:space="preserve"> Sabiedrība un pretendents abi kopā, un katrs atsevišķi – puse.</w:t>
      </w:r>
    </w:p>
    <w:p w14:paraId="4F547CF5" w14:textId="3BFD9A25" w:rsidR="00E607BE" w:rsidRPr="0076029A" w:rsidRDefault="00020359" w:rsidP="00724F6B">
      <w:pPr>
        <w:numPr>
          <w:ilvl w:val="1"/>
          <w:numId w:val="1"/>
        </w:numPr>
        <w:tabs>
          <w:tab w:val="clear" w:pos="360"/>
          <w:tab w:val="left" w:pos="720"/>
        </w:tabs>
        <w:spacing w:after="120"/>
        <w:ind w:left="720" w:hanging="720"/>
        <w:jc w:val="both"/>
      </w:pPr>
      <w:r w:rsidRPr="0076029A">
        <w:rPr>
          <w:b/>
        </w:rPr>
        <w:t>Atlasi</w:t>
      </w:r>
      <w:r w:rsidR="008C114A" w:rsidRPr="0076029A">
        <w:rPr>
          <w:b/>
        </w:rPr>
        <w:t xml:space="preserve"> izsludina</w:t>
      </w:r>
      <w:r w:rsidR="00807C1E" w:rsidRPr="0076029A">
        <w:rPr>
          <w:b/>
        </w:rPr>
        <w:t>,</w:t>
      </w:r>
      <w:r w:rsidR="008C114A" w:rsidRPr="0076029A">
        <w:t xml:space="preserve"> ievietojot </w:t>
      </w:r>
      <w:r w:rsidRPr="0076029A">
        <w:t>informāciju par atlasi</w:t>
      </w:r>
      <w:r w:rsidR="008C114A" w:rsidRPr="0076029A">
        <w:t xml:space="preserve"> </w:t>
      </w:r>
      <w:r w:rsidR="002C4F31" w:rsidRPr="0076029A">
        <w:t>Sabiedrības</w:t>
      </w:r>
      <w:r w:rsidR="00F56464" w:rsidRPr="0076029A">
        <w:t xml:space="preserve"> </w:t>
      </w:r>
      <w:r w:rsidR="00E607BE" w:rsidRPr="0076029A">
        <w:t xml:space="preserve">mājas </w:t>
      </w:r>
      <w:r w:rsidR="00FA13EC" w:rsidRPr="0076029A">
        <w:t>lapā</w:t>
      </w:r>
      <w:r w:rsidR="00F56464" w:rsidRPr="0076029A">
        <w:t xml:space="preserve"> internetā</w:t>
      </w:r>
      <w:r w:rsidR="00E607BE" w:rsidRPr="0076029A">
        <w:t xml:space="preserve">: </w:t>
      </w:r>
      <w:hyperlink r:id="rId8" w:history="1">
        <w:r w:rsidR="002C4F31" w:rsidRPr="0076029A">
          <w:rPr>
            <w:rStyle w:val="Hyperlink"/>
          </w:rPr>
          <w:t>www.altum.lv</w:t>
        </w:r>
      </w:hyperlink>
      <w:r w:rsidR="000341C8" w:rsidRPr="0076029A">
        <w:t>.</w:t>
      </w:r>
      <w:r w:rsidR="0036523B" w:rsidRPr="0076029A">
        <w:t xml:space="preserve"> </w:t>
      </w:r>
    </w:p>
    <w:p w14:paraId="774AAEF9" w14:textId="77777777" w:rsidR="003D042A" w:rsidRPr="0076029A" w:rsidRDefault="00020359" w:rsidP="00724F6B">
      <w:pPr>
        <w:numPr>
          <w:ilvl w:val="1"/>
          <w:numId w:val="1"/>
        </w:numPr>
        <w:tabs>
          <w:tab w:val="clear" w:pos="360"/>
        </w:tabs>
        <w:spacing w:after="120"/>
        <w:ind w:left="709" w:hanging="709"/>
        <w:jc w:val="both"/>
      </w:pPr>
      <w:r w:rsidRPr="0076029A">
        <w:rPr>
          <w:b/>
        </w:rPr>
        <w:t>Atlases</w:t>
      </w:r>
      <w:r w:rsidR="003D042A" w:rsidRPr="0076029A">
        <w:rPr>
          <w:b/>
        </w:rPr>
        <w:t xml:space="preserve"> noteikumus var saņemt</w:t>
      </w:r>
      <w:r w:rsidR="003D042A" w:rsidRPr="0076029A">
        <w:rPr>
          <w:color w:val="000000"/>
        </w:rPr>
        <w:t xml:space="preserve"> </w:t>
      </w:r>
      <w:r w:rsidR="003928AF" w:rsidRPr="0076029A">
        <w:t xml:space="preserve">Sabiedrības mājas lapā internetā: </w:t>
      </w:r>
      <w:hyperlink r:id="rId9" w:history="1">
        <w:r w:rsidR="003928AF" w:rsidRPr="0076029A">
          <w:rPr>
            <w:rStyle w:val="Hyperlink"/>
          </w:rPr>
          <w:t>www.altum.lv</w:t>
        </w:r>
      </w:hyperlink>
      <w:r w:rsidR="003D042A" w:rsidRPr="0076029A">
        <w:t>.</w:t>
      </w:r>
    </w:p>
    <w:p w14:paraId="06EB592E" w14:textId="256A3C9E" w:rsidR="0017259E" w:rsidRPr="007F1FB9" w:rsidRDefault="001676A1" w:rsidP="00C7084D">
      <w:pPr>
        <w:numPr>
          <w:ilvl w:val="1"/>
          <w:numId w:val="1"/>
        </w:numPr>
        <w:tabs>
          <w:tab w:val="clear" w:pos="360"/>
          <w:tab w:val="left" w:pos="720"/>
        </w:tabs>
        <w:spacing w:after="120"/>
        <w:ind w:left="720" w:hanging="720"/>
        <w:jc w:val="both"/>
      </w:pPr>
      <w:bookmarkStart w:id="5" w:name="_Ref491092716"/>
      <w:r w:rsidRPr="001F34A8">
        <w:rPr>
          <w:b/>
        </w:rPr>
        <w:t>Pieteikumu iesniegšanas vieta</w:t>
      </w:r>
      <w:r w:rsidR="003D042A" w:rsidRPr="001F34A8">
        <w:rPr>
          <w:b/>
        </w:rPr>
        <w:t xml:space="preserve"> un laiks </w:t>
      </w:r>
      <w:r w:rsidR="002912D9" w:rsidRPr="001F34A8">
        <w:rPr>
          <w:b/>
        </w:rPr>
        <w:t xml:space="preserve">– </w:t>
      </w:r>
      <w:r w:rsidR="003D042A" w:rsidRPr="0076029A">
        <w:t>Doma laukum</w:t>
      </w:r>
      <w:r w:rsidR="002912D9" w:rsidRPr="0076029A">
        <w:t>s</w:t>
      </w:r>
      <w:r w:rsidR="003D042A" w:rsidRPr="0076029A">
        <w:t xml:space="preserve"> 4, Rīg</w:t>
      </w:r>
      <w:r w:rsidR="002912D9" w:rsidRPr="0076029A">
        <w:t>a</w:t>
      </w:r>
      <w:r w:rsidR="003D042A" w:rsidRPr="0076029A">
        <w:t xml:space="preserve">, </w:t>
      </w:r>
      <w:r w:rsidR="007C44EC" w:rsidRPr="0076029A">
        <w:t xml:space="preserve">līdz </w:t>
      </w:r>
      <w:r w:rsidR="00F71A50" w:rsidRPr="001F34A8">
        <w:rPr>
          <w:b/>
        </w:rPr>
        <w:t>201</w:t>
      </w:r>
      <w:r w:rsidR="00950D32">
        <w:rPr>
          <w:b/>
        </w:rPr>
        <w:t>9</w:t>
      </w:r>
      <w:r w:rsidR="003D042A" w:rsidRPr="001F34A8">
        <w:rPr>
          <w:b/>
        </w:rPr>
        <w:t>.gada</w:t>
      </w:r>
      <w:r w:rsidR="0060512A" w:rsidRPr="001F34A8">
        <w:rPr>
          <w:b/>
        </w:rPr>
        <w:t xml:space="preserve"> </w:t>
      </w:r>
      <w:r w:rsidR="00950D32">
        <w:rPr>
          <w:b/>
        </w:rPr>
        <w:t>____.___________</w:t>
      </w:r>
      <w:r w:rsidR="00DB2C7A" w:rsidRPr="007F1FB9">
        <w:rPr>
          <w:b/>
        </w:rPr>
        <w:t>,</w:t>
      </w:r>
      <w:r w:rsidR="003D042A" w:rsidRPr="007F1FB9">
        <w:rPr>
          <w:b/>
        </w:rPr>
        <w:t xml:space="preserve"> plkst</w:t>
      </w:r>
      <w:r w:rsidR="00B305CA" w:rsidRPr="007F1FB9">
        <w:rPr>
          <w:b/>
        </w:rPr>
        <w:t>.</w:t>
      </w:r>
      <w:r w:rsidR="0017259E" w:rsidRPr="007F1FB9">
        <w:rPr>
          <w:b/>
        </w:rPr>
        <w:t>16</w:t>
      </w:r>
      <w:r w:rsidR="00B305CA" w:rsidRPr="007F1FB9">
        <w:rPr>
          <w:b/>
        </w:rPr>
        <w:t>:</w:t>
      </w:r>
      <w:r w:rsidR="003D042A" w:rsidRPr="007F1FB9">
        <w:rPr>
          <w:b/>
        </w:rPr>
        <w:t>00</w:t>
      </w:r>
      <w:r w:rsidR="0060512A" w:rsidRPr="007F1FB9">
        <w:rPr>
          <w:b/>
        </w:rPr>
        <w:t>.</w:t>
      </w:r>
      <w:bookmarkEnd w:id="5"/>
      <w:r w:rsidR="007C44EC" w:rsidRPr="007F1FB9">
        <w:rPr>
          <w:b/>
        </w:rPr>
        <w:t xml:space="preserve"> </w:t>
      </w:r>
    </w:p>
    <w:p w14:paraId="1464DA57" w14:textId="047A6FF9" w:rsidR="006D5A86" w:rsidRPr="0076029A" w:rsidRDefault="008C114A" w:rsidP="00724F6B">
      <w:pPr>
        <w:numPr>
          <w:ilvl w:val="0"/>
          <w:numId w:val="2"/>
        </w:numPr>
        <w:spacing w:after="120"/>
        <w:jc w:val="both"/>
        <w:rPr>
          <w:b/>
          <w:bCs/>
        </w:rPr>
      </w:pPr>
      <w:r w:rsidRPr="0076029A">
        <w:rPr>
          <w:b/>
          <w:bCs/>
        </w:rPr>
        <w:t xml:space="preserve">Informācija par </w:t>
      </w:r>
      <w:r w:rsidR="00020359" w:rsidRPr="0076029A">
        <w:rPr>
          <w:b/>
          <w:bCs/>
        </w:rPr>
        <w:t>atlases priekšmetu</w:t>
      </w:r>
    </w:p>
    <w:p w14:paraId="7C190867" w14:textId="4B11DF79" w:rsidR="00E04E2E" w:rsidRPr="0076029A" w:rsidRDefault="00E04E2E" w:rsidP="00724F6B">
      <w:pPr>
        <w:pStyle w:val="BodyTextIndent3"/>
        <w:numPr>
          <w:ilvl w:val="1"/>
          <w:numId w:val="2"/>
        </w:numPr>
        <w:spacing w:after="120"/>
        <w:rPr>
          <w:szCs w:val="24"/>
        </w:rPr>
      </w:pPr>
      <w:proofErr w:type="spellStart"/>
      <w:r w:rsidRPr="0076029A">
        <w:rPr>
          <w:szCs w:val="24"/>
        </w:rPr>
        <w:t>Portfeļgarantiju</w:t>
      </w:r>
      <w:proofErr w:type="spellEnd"/>
      <w:r w:rsidRPr="0076029A">
        <w:rPr>
          <w:szCs w:val="24"/>
        </w:rPr>
        <w:t xml:space="preserve"> programmas mērķis ir veicināt </w:t>
      </w:r>
      <w:r w:rsidR="0060160B">
        <w:rPr>
          <w:szCs w:val="24"/>
        </w:rPr>
        <w:t>finansējuma pieejamību</w:t>
      </w:r>
      <w:r w:rsidRPr="0076029A">
        <w:rPr>
          <w:szCs w:val="24"/>
        </w:rPr>
        <w:t xml:space="preserve"> komersantiem </w:t>
      </w:r>
      <w:r w:rsidR="0060160B">
        <w:rPr>
          <w:szCs w:val="24"/>
        </w:rPr>
        <w:t xml:space="preserve">biznesa projektu īstenošanai </w:t>
      </w:r>
      <w:r w:rsidRPr="0076029A">
        <w:rPr>
          <w:szCs w:val="24"/>
        </w:rPr>
        <w:t xml:space="preserve">un palielināt kredītiestāžu izsniegto aizdevumu apjomu tirgus nepilnību </w:t>
      </w:r>
      <w:proofErr w:type="spellStart"/>
      <w:r w:rsidRPr="0076029A">
        <w:rPr>
          <w:szCs w:val="24"/>
        </w:rPr>
        <w:t>izvērtējumā</w:t>
      </w:r>
      <w:proofErr w:type="spellEnd"/>
      <w:r w:rsidRPr="0076029A">
        <w:rPr>
          <w:szCs w:val="24"/>
        </w:rPr>
        <w:t xml:space="preserve"> norādītajās situācijās (kredītiestādes ierobežoti kreditē komersantus</w:t>
      </w:r>
      <w:r w:rsidR="00160BB2" w:rsidRPr="0076029A">
        <w:rPr>
          <w:szCs w:val="24"/>
        </w:rPr>
        <w:t>, kuriem ir</w:t>
      </w:r>
      <w:r w:rsidRPr="0076029A">
        <w:rPr>
          <w:szCs w:val="24"/>
        </w:rPr>
        <w:t xml:space="preserve"> nepietiekam</w:t>
      </w:r>
      <w:r w:rsidR="00160BB2" w:rsidRPr="0076029A">
        <w:rPr>
          <w:szCs w:val="24"/>
        </w:rPr>
        <w:t>s</w:t>
      </w:r>
      <w:r w:rsidRPr="0076029A">
        <w:rPr>
          <w:szCs w:val="24"/>
        </w:rPr>
        <w:t xml:space="preserve"> nodrošinājum</w:t>
      </w:r>
      <w:r w:rsidR="00160BB2" w:rsidRPr="0076029A">
        <w:rPr>
          <w:szCs w:val="24"/>
        </w:rPr>
        <w:t>s</w:t>
      </w:r>
      <w:r w:rsidRPr="0076029A">
        <w:rPr>
          <w:szCs w:val="24"/>
        </w:rPr>
        <w:t xml:space="preserve"> vai nepietiekama </w:t>
      </w:r>
      <w:proofErr w:type="spellStart"/>
      <w:r w:rsidR="00F758B4" w:rsidRPr="0076029A">
        <w:rPr>
          <w:szCs w:val="24"/>
        </w:rPr>
        <w:t>kredītvēsture</w:t>
      </w:r>
      <w:proofErr w:type="spellEnd"/>
      <w:r w:rsidR="00F758B4" w:rsidRPr="0076029A">
        <w:rPr>
          <w:szCs w:val="24"/>
        </w:rPr>
        <w:t>)</w:t>
      </w:r>
      <w:r w:rsidRPr="0076029A">
        <w:rPr>
          <w:szCs w:val="24"/>
        </w:rPr>
        <w:t>.</w:t>
      </w:r>
      <w:r w:rsidR="00427EA1" w:rsidRPr="0076029A">
        <w:rPr>
          <w:szCs w:val="24"/>
        </w:rPr>
        <w:t xml:space="preserve"> </w:t>
      </w:r>
      <w:proofErr w:type="spellStart"/>
      <w:r w:rsidR="00427EA1" w:rsidRPr="0076029A">
        <w:rPr>
          <w:szCs w:val="24"/>
        </w:rPr>
        <w:t>Portfeļgarantiju</w:t>
      </w:r>
      <w:proofErr w:type="spellEnd"/>
      <w:r w:rsidR="00427EA1" w:rsidRPr="0076029A">
        <w:rPr>
          <w:szCs w:val="24"/>
        </w:rPr>
        <w:t xml:space="preserve"> programma</w:t>
      </w:r>
      <w:r w:rsidR="0076029A" w:rsidRPr="0076029A">
        <w:rPr>
          <w:szCs w:val="24"/>
        </w:rPr>
        <w:t>s</w:t>
      </w:r>
      <w:r w:rsidR="00427EA1" w:rsidRPr="0076029A">
        <w:rPr>
          <w:szCs w:val="24"/>
        </w:rPr>
        <w:t xml:space="preserve"> </w:t>
      </w:r>
      <w:r w:rsidR="00B30CE8" w:rsidRPr="0076029A">
        <w:rPr>
          <w:szCs w:val="24"/>
        </w:rPr>
        <w:t xml:space="preserve">mērķis ir </w:t>
      </w:r>
      <w:r w:rsidR="00427EA1" w:rsidRPr="0076029A">
        <w:rPr>
          <w:szCs w:val="24"/>
        </w:rPr>
        <w:t xml:space="preserve">mazināt kreditēšanas risku un </w:t>
      </w:r>
      <w:r w:rsidR="0060160B">
        <w:rPr>
          <w:szCs w:val="24"/>
        </w:rPr>
        <w:t>veicināt</w:t>
      </w:r>
      <w:r w:rsidR="0060160B" w:rsidRPr="0076029A">
        <w:rPr>
          <w:szCs w:val="24"/>
        </w:rPr>
        <w:t xml:space="preserve"> </w:t>
      </w:r>
      <w:r w:rsidR="00427EA1" w:rsidRPr="0076029A">
        <w:rPr>
          <w:szCs w:val="24"/>
        </w:rPr>
        <w:t xml:space="preserve">finanšu pakalpojumu sniegšanu komersantiem </w:t>
      </w:r>
      <w:r w:rsidR="004F05A9">
        <w:rPr>
          <w:szCs w:val="24"/>
          <w:lang w:eastAsia="lv-LV"/>
        </w:rPr>
        <w:t xml:space="preserve">saimnieciskās darbības uzsākšanai, jaunu projektu īstenošanai, jaunu tirgu apguvei, jaunu attīstības virzienu apguvei, kā arī citiem mērķiem, kas pamato finansējuma nepieciešamību saimnieciskās darbības paplašināšanai. </w:t>
      </w:r>
    </w:p>
    <w:p w14:paraId="67645E96" w14:textId="3BBB7C5A" w:rsidR="00427EA1" w:rsidRPr="00D672C8" w:rsidRDefault="00E04E2E" w:rsidP="00724F6B">
      <w:pPr>
        <w:pStyle w:val="BodyTextIndent3"/>
        <w:numPr>
          <w:ilvl w:val="1"/>
          <w:numId w:val="2"/>
        </w:numPr>
        <w:spacing w:after="120"/>
        <w:rPr>
          <w:szCs w:val="24"/>
        </w:rPr>
      </w:pPr>
      <w:r>
        <w:rPr>
          <w:szCs w:val="24"/>
        </w:rPr>
        <w:t xml:space="preserve">Atlases </w:t>
      </w:r>
      <w:r w:rsidR="00116728" w:rsidRPr="00116728">
        <w:rPr>
          <w:szCs w:val="24"/>
        </w:rPr>
        <w:t xml:space="preserve">mērķis ir izvēlēties </w:t>
      </w:r>
      <w:r w:rsidR="006F5666">
        <w:rPr>
          <w:szCs w:val="24"/>
        </w:rPr>
        <w:t>pretendentu</w:t>
      </w:r>
      <w:r>
        <w:rPr>
          <w:szCs w:val="24"/>
        </w:rPr>
        <w:t xml:space="preserve">, kas </w:t>
      </w:r>
      <w:r w:rsidR="00116728" w:rsidRPr="00116728">
        <w:rPr>
          <w:szCs w:val="24"/>
        </w:rPr>
        <w:t xml:space="preserve">ievieš </w:t>
      </w:r>
      <w:proofErr w:type="spellStart"/>
      <w:r w:rsidR="006F5666">
        <w:rPr>
          <w:szCs w:val="24"/>
        </w:rPr>
        <w:t>P</w:t>
      </w:r>
      <w:r>
        <w:rPr>
          <w:szCs w:val="24"/>
        </w:rPr>
        <w:t>ortfeļgarantiju</w:t>
      </w:r>
      <w:proofErr w:type="spellEnd"/>
      <w:r>
        <w:rPr>
          <w:szCs w:val="24"/>
        </w:rPr>
        <w:t xml:space="preserve"> programmu atbilstoši MK noteikumiem </w:t>
      </w:r>
      <w:r w:rsidR="00D53592">
        <w:rPr>
          <w:szCs w:val="24"/>
        </w:rPr>
        <w:t>Nr</w:t>
      </w:r>
      <w:r w:rsidR="00B84BE0">
        <w:rPr>
          <w:szCs w:val="24"/>
        </w:rPr>
        <w:t xml:space="preserve">.537, </w:t>
      </w:r>
      <w:r w:rsidR="007A7D1E">
        <w:rPr>
          <w:szCs w:val="24"/>
        </w:rPr>
        <w:t xml:space="preserve">šiem </w:t>
      </w:r>
      <w:r>
        <w:rPr>
          <w:szCs w:val="24"/>
        </w:rPr>
        <w:t>atlases nosacījumiem</w:t>
      </w:r>
      <w:r w:rsidR="00FA5C75">
        <w:rPr>
          <w:szCs w:val="24"/>
        </w:rPr>
        <w:t xml:space="preserve"> un Līgum</w:t>
      </w:r>
      <w:r w:rsidR="007A7D1E">
        <w:rPr>
          <w:szCs w:val="24"/>
        </w:rPr>
        <w:t>a</w:t>
      </w:r>
      <w:r w:rsidR="00FA5C75">
        <w:rPr>
          <w:szCs w:val="24"/>
        </w:rPr>
        <w:t>m</w:t>
      </w:r>
      <w:r>
        <w:rPr>
          <w:szCs w:val="24"/>
        </w:rPr>
        <w:t xml:space="preserve"> </w:t>
      </w:r>
      <w:r w:rsidR="00551274">
        <w:rPr>
          <w:szCs w:val="24"/>
        </w:rPr>
        <w:t>un veido</w:t>
      </w:r>
      <w:r>
        <w:rPr>
          <w:szCs w:val="24"/>
        </w:rPr>
        <w:t xml:space="preserve"> jaunu aizdevumu portfeli.</w:t>
      </w:r>
    </w:p>
    <w:p w14:paraId="2283338C" w14:textId="4C499DF5" w:rsidR="00551274" w:rsidRDefault="002778C8" w:rsidP="00724F6B">
      <w:pPr>
        <w:pStyle w:val="BodyTextIndent3"/>
        <w:numPr>
          <w:ilvl w:val="1"/>
          <w:numId w:val="2"/>
        </w:numPr>
        <w:spacing w:after="120"/>
        <w:rPr>
          <w:szCs w:val="24"/>
        </w:rPr>
      </w:pPr>
      <w:r>
        <w:rPr>
          <w:szCs w:val="24"/>
        </w:rPr>
        <w:t xml:space="preserve">Līguma ietvaros </w:t>
      </w:r>
      <w:r w:rsidR="006F5666">
        <w:rPr>
          <w:szCs w:val="24"/>
        </w:rPr>
        <w:t xml:space="preserve">pretendents sniedz </w:t>
      </w:r>
      <w:r w:rsidR="004956DA">
        <w:rPr>
          <w:szCs w:val="24"/>
        </w:rPr>
        <w:t xml:space="preserve">komersantiem jaunus </w:t>
      </w:r>
      <w:r w:rsidR="004956DA" w:rsidRPr="004956DA">
        <w:rPr>
          <w:szCs w:val="24"/>
        </w:rPr>
        <w:t>nolikuma</w:t>
      </w:r>
      <w:r w:rsidR="00D672C8">
        <w:rPr>
          <w:szCs w:val="24"/>
        </w:rPr>
        <w:t xml:space="preserve"> </w:t>
      </w:r>
      <w:r w:rsidR="00D672C8">
        <w:rPr>
          <w:szCs w:val="24"/>
        </w:rPr>
        <w:fldChar w:fldCharType="begin"/>
      </w:r>
      <w:r w:rsidR="00D672C8">
        <w:rPr>
          <w:szCs w:val="24"/>
        </w:rPr>
        <w:instrText xml:space="preserve"> REF _Ref492573567 \r \h </w:instrText>
      </w:r>
      <w:r w:rsidR="00D672C8">
        <w:rPr>
          <w:szCs w:val="24"/>
        </w:rPr>
      </w:r>
      <w:r w:rsidR="00D672C8">
        <w:rPr>
          <w:szCs w:val="24"/>
        </w:rPr>
        <w:fldChar w:fldCharType="separate"/>
      </w:r>
      <w:r w:rsidR="00946EC0">
        <w:rPr>
          <w:szCs w:val="24"/>
        </w:rPr>
        <w:t>1.6</w:t>
      </w:r>
      <w:r w:rsidR="00D672C8">
        <w:rPr>
          <w:szCs w:val="24"/>
        </w:rPr>
        <w:fldChar w:fldCharType="end"/>
      </w:r>
      <w:r w:rsidR="004956DA">
        <w:rPr>
          <w:szCs w:val="24"/>
        </w:rPr>
        <w:t>.punktā</w:t>
      </w:r>
      <w:r w:rsidR="004956DA" w:rsidRPr="004956DA">
        <w:rPr>
          <w:szCs w:val="24"/>
        </w:rPr>
        <w:t xml:space="preserve"> </w:t>
      </w:r>
      <w:r w:rsidR="004956DA">
        <w:rPr>
          <w:szCs w:val="24"/>
        </w:rPr>
        <w:t>norādītos finanšu pakalpojumus un veido jaunu aizdevumu portfe</w:t>
      </w:r>
      <w:r w:rsidR="006F5666">
        <w:rPr>
          <w:szCs w:val="24"/>
        </w:rPr>
        <w:t>li</w:t>
      </w:r>
      <w:r w:rsidR="004956DA">
        <w:rPr>
          <w:szCs w:val="24"/>
        </w:rPr>
        <w:t xml:space="preserve">. </w:t>
      </w:r>
    </w:p>
    <w:p w14:paraId="1E5D4C91" w14:textId="5CE7A5ED" w:rsidR="004956DA" w:rsidRDefault="006F5666" w:rsidP="00724F6B">
      <w:pPr>
        <w:pStyle w:val="BodyTextIndent3"/>
        <w:numPr>
          <w:ilvl w:val="1"/>
          <w:numId w:val="2"/>
        </w:numPr>
        <w:spacing w:after="120"/>
        <w:rPr>
          <w:szCs w:val="24"/>
        </w:rPr>
      </w:pPr>
      <w:r>
        <w:rPr>
          <w:szCs w:val="24"/>
        </w:rPr>
        <w:t>Pretendents sniedz f</w:t>
      </w:r>
      <w:r w:rsidR="004956DA">
        <w:rPr>
          <w:szCs w:val="24"/>
        </w:rPr>
        <w:t>inanšu pakalpojumu</w:t>
      </w:r>
      <w:r w:rsidR="009A3549">
        <w:rPr>
          <w:szCs w:val="24"/>
        </w:rPr>
        <w:t>s</w:t>
      </w:r>
      <w:r w:rsidR="004956DA">
        <w:rPr>
          <w:szCs w:val="24"/>
        </w:rPr>
        <w:t xml:space="preserve"> </w:t>
      </w:r>
      <w:r>
        <w:rPr>
          <w:szCs w:val="24"/>
        </w:rPr>
        <w:t xml:space="preserve">komersantiem </w:t>
      </w:r>
      <w:r w:rsidR="004956DA">
        <w:rPr>
          <w:szCs w:val="24"/>
        </w:rPr>
        <w:t xml:space="preserve">no </w:t>
      </w:r>
      <w:r w:rsidR="00501879">
        <w:t>Pretendenta</w:t>
      </w:r>
      <w:r w:rsidR="00501879" w:rsidRPr="00C67E8C">
        <w:t xml:space="preserve"> līdzekļiem</w:t>
      </w:r>
      <w:r w:rsidR="004956DA">
        <w:rPr>
          <w:szCs w:val="24"/>
        </w:rPr>
        <w:t>.</w:t>
      </w:r>
      <w:r w:rsidR="002778C8">
        <w:rPr>
          <w:szCs w:val="24"/>
        </w:rPr>
        <w:t xml:space="preserve"> </w:t>
      </w:r>
    </w:p>
    <w:p w14:paraId="7FFD434E" w14:textId="3350A2DA" w:rsidR="00DA0A23" w:rsidRPr="00D8354F" w:rsidRDefault="004956DA" w:rsidP="00724F6B">
      <w:pPr>
        <w:pStyle w:val="BodyTextIndent3"/>
        <w:numPr>
          <w:ilvl w:val="1"/>
          <w:numId w:val="2"/>
        </w:numPr>
        <w:spacing w:after="120"/>
        <w:rPr>
          <w:szCs w:val="24"/>
        </w:rPr>
      </w:pPr>
      <w:r w:rsidRPr="00B10B1B">
        <w:rPr>
          <w:szCs w:val="24"/>
        </w:rPr>
        <w:lastRenderedPageBreak/>
        <w:t xml:space="preserve">Atbilstošie </w:t>
      </w:r>
      <w:r>
        <w:rPr>
          <w:szCs w:val="24"/>
        </w:rPr>
        <w:t xml:space="preserve">aizdevumu portfelī iekļautie finanšu pakalpojumi tiek garantēti līdz </w:t>
      </w:r>
      <w:r w:rsidR="006347A5">
        <w:rPr>
          <w:szCs w:val="24"/>
        </w:rPr>
        <w:t>8</w:t>
      </w:r>
      <w:r>
        <w:rPr>
          <w:szCs w:val="24"/>
        </w:rPr>
        <w:t xml:space="preserve">0% </w:t>
      </w:r>
      <w:r w:rsidR="00D8354F" w:rsidRPr="00D8354F">
        <w:rPr>
          <w:i/>
          <w:szCs w:val="24"/>
        </w:rPr>
        <w:t>(</w:t>
      </w:r>
      <w:r w:rsidR="006F5666">
        <w:rPr>
          <w:i/>
          <w:szCs w:val="24"/>
        </w:rPr>
        <w:t>maksimālā</w:t>
      </w:r>
      <w:r w:rsidR="006F5666" w:rsidRPr="00D8354F">
        <w:rPr>
          <w:i/>
          <w:szCs w:val="24"/>
        </w:rPr>
        <w:t xml:space="preserve"> </w:t>
      </w:r>
      <w:r w:rsidR="00D8354F" w:rsidRPr="00D8354F">
        <w:rPr>
          <w:i/>
          <w:szCs w:val="24"/>
        </w:rPr>
        <w:t>garantij</w:t>
      </w:r>
      <w:r w:rsidR="006F5666">
        <w:rPr>
          <w:i/>
          <w:szCs w:val="24"/>
        </w:rPr>
        <w:t>as</w:t>
      </w:r>
      <w:r w:rsidR="00D8354F" w:rsidRPr="00D8354F">
        <w:rPr>
          <w:i/>
          <w:szCs w:val="24"/>
        </w:rPr>
        <w:t xml:space="preserve"> likme</w:t>
      </w:r>
      <w:r w:rsidR="006347A5">
        <w:rPr>
          <w:i/>
          <w:szCs w:val="24"/>
        </w:rPr>
        <w:t xml:space="preserve"> 80</w:t>
      </w:r>
      <w:r w:rsidR="00D8354F" w:rsidRPr="00D8354F">
        <w:rPr>
          <w:i/>
          <w:szCs w:val="24"/>
        </w:rPr>
        <w:t>%)</w:t>
      </w:r>
      <w:r w:rsidR="00D8354F">
        <w:rPr>
          <w:szCs w:val="24"/>
        </w:rPr>
        <w:t xml:space="preserve"> </w:t>
      </w:r>
      <w:r>
        <w:rPr>
          <w:szCs w:val="24"/>
        </w:rPr>
        <w:t xml:space="preserve">saskaņā ar </w:t>
      </w:r>
      <w:r w:rsidR="006F5666">
        <w:rPr>
          <w:szCs w:val="24"/>
        </w:rPr>
        <w:t>p</w:t>
      </w:r>
      <w:r>
        <w:rPr>
          <w:szCs w:val="24"/>
        </w:rPr>
        <w:t>retendenta kreditēšanas stratēģijā norādīto</w:t>
      </w:r>
      <w:r w:rsidR="007A7D1E">
        <w:rPr>
          <w:szCs w:val="24"/>
        </w:rPr>
        <w:t>.</w:t>
      </w:r>
      <w:r w:rsidR="00F61494">
        <w:rPr>
          <w:szCs w:val="24"/>
        </w:rPr>
        <w:t xml:space="preserve"> </w:t>
      </w:r>
      <w:r w:rsidR="007A7D1E">
        <w:rPr>
          <w:szCs w:val="24"/>
        </w:rPr>
        <w:t>P</w:t>
      </w:r>
      <w:r w:rsidR="00F61494">
        <w:rPr>
          <w:szCs w:val="24"/>
        </w:rPr>
        <w:t xml:space="preserve">retendenta </w:t>
      </w:r>
      <w:r w:rsidR="006F5666">
        <w:rPr>
          <w:szCs w:val="24"/>
        </w:rPr>
        <w:t>kredīt</w:t>
      </w:r>
      <w:r w:rsidR="00F61494">
        <w:rPr>
          <w:szCs w:val="24"/>
        </w:rPr>
        <w:t xml:space="preserve">risks jebkurā gadījumā nav mazāks par </w:t>
      </w:r>
      <w:r w:rsidR="006347A5">
        <w:rPr>
          <w:szCs w:val="24"/>
        </w:rPr>
        <w:t>2</w:t>
      </w:r>
      <w:r w:rsidR="00F61494">
        <w:rPr>
          <w:szCs w:val="24"/>
        </w:rPr>
        <w:t>0% no finanšu pakalpojuma summas</w:t>
      </w:r>
      <w:r w:rsidR="00DA0A23">
        <w:rPr>
          <w:szCs w:val="24"/>
        </w:rPr>
        <w:t xml:space="preserve"> saskaņā </w:t>
      </w:r>
      <w:r w:rsidR="00DA0A23" w:rsidRPr="00F43165">
        <w:rPr>
          <w:i/>
          <w:szCs w:val="24"/>
        </w:rPr>
        <w:t xml:space="preserve">ar </w:t>
      </w:r>
      <w:proofErr w:type="spellStart"/>
      <w:r w:rsidR="00DA0A23" w:rsidRPr="00F43165">
        <w:rPr>
          <w:i/>
          <w:szCs w:val="24"/>
        </w:rPr>
        <w:t>pari</w:t>
      </w:r>
      <w:proofErr w:type="spellEnd"/>
      <w:r w:rsidR="00DA0A23" w:rsidRPr="00F43165">
        <w:rPr>
          <w:i/>
          <w:szCs w:val="24"/>
        </w:rPr>
        <w:t xml:space="preserve"> </w:t>
      </w:r>
      <w:proofErr w:type="spellStart"/>
      <w:r w:rsidR="00DA0A23" w:rsidRPr="00F43165">
        <w:rPr>
          <w:i/>
          <w:szCs w:val="24"/>
        </w:rPr>
        <w:t>passu</w:t>
      </w:r>
      <w:proofErr w:type="spellEnd"/>
      <w:r w:rsidR="00DA0A23">
        <w:rPr>
          <w:szCs w:val="24"/>
        </w:rPr>
        <w:t xml:space="preserve"> principu</w:t>
      </w:r>
      <w:r>
        <w:rPr>
          <w:szCs w:val="24"/>
        </w:rPr>
        <w:t xml:space="preserve">. </w:t>
      </w:r>
      <w:r w:rsidR="00DA0A23" w:rsidRPr="00D8354F">
        <w:rPr>
          <w:szCs w:val="24"/>
        </w:rPr>
        <w:t xml:space="preserve"> </w:t>
      </w:r>
    </w:p>
    <w:p w14:paraId="7FD22580" w14:textId="45E64A6D" w:rsidR="00551274" w:rsidRDefault="00551274" w:rsidP="00724F6B">
      <w:pPr>
        <w:pStyle w:val="BodyTextIndent3"/>
        <w:numPr>
          <w:ilvl w:val="1"/>
          <w:numId w:val="2"/>
        </w:numPr>
        <w:spacing w:after="120"/>
        <w:rPr>
          <w:szCs w:val="24"/>
        </w:rPr>
      </w:pPr>
      <w:r>
        <w:rPr>
          <w:szCs w:val="24"/>
        </w:rPr>
        <w:t xml:space="preserve">Ierobežotās garantijas likme (CAP) nepārsniedz </w:t>
      </w:r>
      <w:r w:rsidR="00565C2A">
        <w:rPr>
          <w:szCs w:val="24"/>
        </w:rPr>
        <w:t>17.5</w:t>
      </w:r>
      <w:r>
        <w:rPr>
          <w:szCs w:val="24"/>
        </w:rPr>
        <w:t xml:space="preserve">% no </w:t>
      </w:r>
      <w:r w:rsidR="001E5673">
        <w:rPr>
          <w:szCs w:val="24"/>
        </w:rPr>
        <w:t>garantiju</w:t>
      </w:r>
      <w:r w:rsidR="000F500A">
        <w:rPr>
          <w:szCs w:val="24"/>
        </w:rPr>
        <w:t xml:space="preserve"> </w:t>
      </w:r>
      <w:r>
        <w:rPr>
          <w:szCs w:val="24"/>
        </w:rPr>
        <w:t>portfeļa.</w:t>
      </w:r>
    </w:p>
    <w:p w14:paraId="3BF59537" w14:textId="10C902C0" w:rsidR="00AD4DCD" w:rsidRDefault="004956DA" w:rsidP="00724F6B">
      <w:pPr>
        <w:pStyle w:val="BodyTextIndent3"/>
        <w:numPr>
          <w:ilvl w:val="1"/>
          <w:numId w:val="2"/>
        </w:numPr>
        <w:spacing w:after="120"/>
        <w:rPr>
          <w:szCs w:val="24"/>
        </w:rPr>
      </w:pPr>
      <w:r>
        <w:rPr>
          <w:szCs w:val="24"/>
        </w:rPr>
        <w:t xml:space="preserve">Maksimālā summa, ko Sabiedrība izmaksā </w:t>
      </w:r>
      <w:r w:rsidR="004D7A79">
        <w:rPr>
          <w:szCs w:val="24"/>
        </w:rPr>
        <w:t xml:space="preserve">pretendentam </w:t>
      </w:r>
      <w:r>
        <w:rPr>
          <w:szCs w:val="24"/>
        </w:rPr>
        <w:t xml:space="preserve">par garantijas gadījumu, nepārsniedz </w:t>
      </w:r>
      <w:r w:rsidR="003759B6">
        <w:rPr>
          <w:szCs w:val="24"/>
        </w:rPr>
        <w:t xml:space="preserve">tā brīža </w:t>
      </w:r>
      <w:r w:rsidR="007A7D1E">
        <w:rPr>
          <w:szCs w:val="24"/>
        </w:rPr>
        <w:t xml:space="preserve">garantiju portfeļa </w:t>
      </w:r>
      <w:r w:rsidRPr="0008382D">
        <w:rPr>
          <w:szCs w:val="24"/>
        </w:rPr>
        <w:t>ierobežotā</w:t>
      </w:r>
      <w:r>
        <w:rPr>
          <w:szCs w:val="24"/>
        </w:rPr>
        <w:t>s</w:t>
      </w:r>
      <w:r w:rsidRPr="0008382D">
        <w:rPr>
          <w:szCs w:val="24"/>
        </w:rPr>
        <w:t xml:space="preserve"> garantijas summ</w:t>
      </w:r>
      <w:r>
        <w:rPr>
          <w:szCs w:val="24"/>
        </w:rPr>
        <w:t>u.</w:t>
      </w:r>
      <w:r w:rsidR="00F61494">
        <w:rPr>
          <w:szCs w:val="24"/>
        </w:rPr>
        <w:t xml:space="preserve"> </w:t>
      </w:r>
    </w:p>
    <w:p w14:paraId="576A203E" w14:textId="30F575F1" w:rsidR="00AD4DCD" w:rsidRDefault="00AD4DCD" w:rsidP="00724F6B">
      <w:pPr>
        <w:pStyle w:val="BodyTextIndent3"/>
        <w:numPr>
          <w:ilvl w:val="1"/>
          <w:numId w:val="2"/>
        </w:numPr>
        <w:spacing w:after="120"/>
        <w:rPr>
          <w:szCs w:val="24"/>
        </w:rPr>
      </w:pPr>
      <w:r>
        <w:rPr>
          <w:szCs w:val="24"/>
        </w:rPr>
        <w:t xml:space="preserve">Garantijas likmi un ierobežotās garantijas likmi </w:t>
      </w:r>
      <w:r w:rsidR="007E271F">
        <w:rPr>
          <w:szCs w:val="24"/>
        </w:rPr>
        <w:t>pretendents</w:t>
      </w:r>
      <w:r>
        <w:rPr>
          <w:szCs w:val="24"/>
        </w:rPr>
        <w:t xml:space="preserve"> </w:t>
      </w:r>
      <w:r w:rsidR="007E271F">
        <w:rPr>
          <w:szCs w:val="24"/>
        </w:rPr>
        <w:t>pamato kreditēšanas stratēģijā</w:t>
      </w:r>
      <w:r w:rsidR="007E271F" w:rsidRPr="00427EA1">
        <w:rPr>
          <w:szCs w:val="24"/>
        </w:rPr>
        <w:t xml:space="preserve"> </w:t>
      </w:r>
      <w:r w:rsidR="007E271F" w:rsidRPr="007E271F">
        <w:rPr>
          <w:i/>
          <w:szCs w:val="24"/>
        </w:rPr>
        <w:t>(pielikums nr.</w:t>
      </w:r>
      <w:r w:rsidR="005B1FC4">
        <w:rPr>
          <w:i/>
          <w:szCs w:val="24"/>
        </w:rPr>
        <w:t>3</w:t>
      </w:r>
      <w:r w:rsidR="007E271F" w:rsidRPr="007E271F">
        <w:rPr>
          <w:i/>
          <w:szCs w:val="24"/>
        </w:rPr>
        <w:t>)</w:t>
      </w:r>
      <w:r w:rsidR="007E271F" w:rsidRPr="00427EA1">
        <w:rPr>
          <w:szCs w:val="24"/>
        </w:rPr>
        <w:t xml:space="preserve"> atbilstoši </w:t>
      </w:r>
      <w:r w:rsidR="007E271F">
        <w:rPr>
          <w:szCs w:val="24"/>
        </w:rPr>
        <w:t xml:space="preserve">pretendenta </w:t>
      </w:r>
      <w:r w:rsidR="007E271F" w:rsidRPr="00427EA1">
        <w:rPr>
          <w:szCs w:val="24"/>
        </w:rPr>
        <w:t>vēsturiskajiem aizdevumu portfeļa rādītājiem</w:t>
      </w:r>
      <w:r w:rsidR="007E271F">
        <w:rPr>
          <w:szCs w:val="24"/>
        </w:rPr>
        <w:t xml:space="preserve"> (zaudējumi un atgūtās summas)</w:t>
      </w:r>
      <w:r w:rsidR="005B1FC4">
        <w:rPr>
          <w:szCs w:val="24"/>
        </w:rPr>
        <w:t>,</w:t>
      </w:r>
      <w:r w:rsidR="007E271F" w:rsidRPr="00427EA1">
        <w:rPr>
          <w:szCs w:val="24"/>
        </w:rPr>
        <w:t xml:space="preserve"> plānotajiem aizdevumu portfelī iekļa</w:t>
      </w:r>
      <w:r w:rsidR="00F34092">
        <w:rPr>
          <w:szCs w:val="24"/>
        </w:rPr>
        <w:t>ujamajiem</w:t>
      </w:r>
      <w:r w:rsidR="007E271F" w:rsidRPr="00427EA1">
        <w:rPr>
          <w:szCs w:val="24"/>
        </w:rPr>
        <w:t xml:space="preserve"> finanšu pakalpojum</w:t>
      </w:r>
      <w:r w:rsidR="007E271F">
        <w:rPr>
          <w:szCs w:val="24"/>
        </w:rPr>
        <w:t>u zaudējumiem</w:t>
      </w:r>
      <w:r w:rsidR="005B1FC4">
        <w:rPr>
          <w:szCs w:val="24"/>
        </w:rPr>
        <w:t>,</w:t>
      </w:r>
      <w:r w:rsidR="007E271F">
        <w:rPr>
          <w:szCs w:val="24"/>
        </w:rPr>
        <w:t xml:space="preserve"> atgūstamajām summām</w:t>
      </w:r>
      <w:r w:rsidR="005B1FC4">
        <w:rPr>
          <w:szCs w:val="24"/>
        </w:rPr>
        <w:t xml:space="preserve"> un cit</w:t>
      </w:r>
      <w:r w:rsidR="0053003F">
        <w:rPr>
          <w:szCs w:val="24"/>
        </w:rPr>
        <w:t>ai atbilstošai informācijai</w:t>
      </w:r>
      <w:r w:rsidR="007E271F" w:rsidRPr="00427EA1">
        <w:rPr>
          <w:szCs w:val="24"/>
        </w:rPr>
        <w:t>.</w:t>
      </w:r>
    </w:p>
    <w:p w14:paraId="1D63CC62" w14:textId="14E24F1D" w:rsidR="00EF5B30" w:rsidRDefault="00AD4DCD" w:rsidP="00724F6B">
      <w:pPr>
        <w:pStyle w:val="BodyTextIndent3"/>
        <w:numPr>
          <w:ilvl w:val="1"/>
          <w:numId w:val="2"/>
        </w:numPr>
        <w:spacing w:after="120"/>
        <w:rPr>
          <w:szCs w:val="24"/>
        </w:rPr>
      </w:pPr>
      <w:r>
        <w:rPr>
          <w:szCs w:val="24"/>
        </w:rPr>
        <w:t xml:space="preserve">Visas </w:t>
      </w:r>
      <w:proofErr w:type="spellStart"/>
      <w:r w:rsidR="00AF40E4">
        <w:rPr>
          <w:szCs w:val="24"/>
        </w:rPr>
        <w:t>P</w:t>
      </w:r>
      <w:r>
        <w:rPr>
          <w:szCs w:val="24"/>
        </w:rPr>
        <w:t>ortfeļgarantiju</w:t>
      </w:r>
      <w:proofErr w:type="spellEnd"/>
      <w:r>
        <w:rPr>
          <w:szCs w:val="24"/>
        </w:rPr>
        <w:t xml:space="preserve"> programmas finansiālās priekšrocības pretendenti </w:t>
      </w:r>
      <w:r w:rsidR="00B22177">
        <w:rPr>
          <w:szCs w:val="24"/>
        </w:rPr>
        <w:t xml:space="preserve">pilnībā </w:t>
      </w:r>
      <w:r>
        <w:rPr>
          <w:szCs w:val="24"/>
        </w:rPr>
        <w:t xml:space="preserve">nodod komersantiem </w:t>
      </w:r>
      <w:r w:rsidR="00B22177">
        <w:rPr>
          <w:szCs w:val="24"/>
        </w:rPr>
        <w:t xml:space="preserve">samazinātas </w:t>
      </w:r>
      <w:r>
        <w:rPr>
          <w:szCs w:val="24"/>
        </w:rPr>
        <w:t>finanšu pakalpojumu</w:t>
      </w:r>
      <w:r w:rsidR="00AF40E4">
        <w:rPr>
          <w:szCs w:val="24"/>
        </w:rPr>
        <w:t xml:space="preserve"> procentu</w:t>
      </w:r>
      <w:r>
        <w:rPr>
          <w:szCs w:val="24"/>
        </w:rPr>
        <w:t xml:space="preserve"> likmes veidā.</w:t>
      </w:r>
      <w:r w:rsidR="00A262C9">
        <w:rPr>
          <w:szCs w:val="24"/>
        </w:rPr>
        <w:t xml:space="preserve"> Iesniedzot pieteikumu, pretendents </w:t>
      </w:r>
      <w:r w:rsidR="0053003F">
        <w:rPr>
          <w:szCs w:val="24"/>
        </w:rPr>
        <w:t>kreditēšanas stratēģijā</w:t>
      </w:r>
      <w:r w:rsidR="0053003F" w:rsidRPr="00427EA1">
        <w:rPr>
          <w:szCs w:val="24"/>
        </w:rPr>
        <w:t xml:space="preserve"> </w:t>
      </w:r>
      <w:r w:rsidR="0053003F" w:rsidRPr="007E271F">
        <w:rPr>
          <w:i/>
          <w:szCs w:val="24"/>
        </w:rPr>
        <w:t>(pielikums nr.</w:t>
      </w:r>
      <w:r w:rsidR="0053003F">
        <w:rPr>
          <w:i/>
          <w:szCs w:val="24"/>
        </w:rPr>
        <w:t>3</w:t>
      </w:r>
      <w:r w:rsidR="0053003F" w:rsidRPr="007E271F">
        <w:rPr>
          <w:i/>
          <w:szCs w:val="24"/>
        </w:rPr>
        <w:t>)</w:t>
      </w:r>
      <w:r w:rsidR="0053003F">
        <w:rPr>
          <w:i/>
          <w:szCs w:val="24"/>
        </w:rPr>
        <w:t xml:space="preserve"> </w:t>
      </w:r>
      <w:r w:rsidR="00A262C9">
        <w:rPr>
          <w:szCs w:val="24"/>
        </w:rPr>
        <w:t xml:space="preserve">ar </w:t>
      </w:r>
      <w:r w:rsidR="00AF40E4" w:rsidRPr="00FD26E0">
        <w:rPr>
          <w:szCs w:val="24"/>
        </w:rPr>
        <w:t>finanšu pakalpojumu procentu likmes</w:t>
      </w:r>
      <w:r w:rsidR="00AF40E4">
        <w:rPr>
          <w:szCs w:val="24"/>
        </w:rPr>
        <w:t xml:space="preserve"> </w:t>
      </w:r>
      <w:r w:rsidR="00A262C9">
        <w:rPr>
          <w:szCs w:val="24"/>
        </w:rPr>
        <w:t xml:space="preserve">noteikšanas metodiku vai citiem </w:t>
      </w:r>
      <w:r w:rsidR="0053003F">
        <w:rPr>
          <w:szCs w:val="24"/>
        </w:rPr>
        <w:t xml:space="preserve">iekšējiem </w:t>
      </w:r>
      <w:r w:rsidR="00A262C9">
        <w:rPr>
          <w:szCs w:val="24"/>
        </w:rPr>
        <w:t>normatīvajiem aktiem pamato finansiālo priekšrocību nodošanu</w:t>
      </w:r>
      <w:r w:rsidR="00AF40E4">
        <w:rPr>
          <w:szCs w:val="24"/>
        </w:rPr>
        <w:t xml:space="preserve"> </w:t>
      </w:r>
      <w:r w:rsidR="00F93038">
        <w:rPr>
          <w:szCs w:val="24"/>
        </w:rPr>
        <w:t>komersantiem</w:t>
      </w:r>
      <w:r w:rsidR="00A262C9">
        <w:rPr>
          <w:szCs w:val="24"/>
        </w:rPr>
        <w:t>.</w:t>
      </w:r>
      <w:r>
        <w:rPr>
          <w:szCs w:val="24"/>
        </w:rPr>
        <w:t xml:space="preserve"> Ja pretendents nenodo</w:t>
      </w:r>
      <w:r w:rsidR="00F34092">
        <w:rPr>
          <w:szCs w:val="24"/>
        </w:rPr>
        <w:t>d</w:t>
      </w:r>
      <w:r>
        <w:rPr>
          <w:szCs w:val="24"/>
        </w:rPr>
        <w:t xml:space="preserve"> visas </w:t>
      </w:r>
      <w:proofErr w:type="spellStart"/>
      <w:r w:rsidR="00AF40E4">
        <w:rPr>
          <w:szCs w:val="24"/>
        </w:rPr>
        <w:t>P</w:t>
      </w:r>
      <w:r>
        <w:rPr>
          <w:szCs w:val="24"/>
        </w:rPr>
        <w:t>ortfeļgarantiju</w:t>
      </w:r>
      <w:proofErr w:type="spellEnd"/>
      <w:r>
        <w:rPr>
          <w:szCs w:val="24"/>
        </w:rPr>
        <w:t xml:space="preserve"> programmas finansiālās priekšrocības komersantiem, valsts atbalsts iespējams pretendenta līmenī</w:t>
      </w:r>
      <w:r w:rsidR="00AF40E4">
        <w:rPr>
          <w:szCs w:val="24"/>
        </w:rPr>
        <w:t>,</w:t>
      </w:r>
      <w:r w:rsidR="00A262C9">
        <w:rPr>
          <w:szCs w:val="24"/>
        </w:rPr>
        <w:t xml:space="preserve"> un pretendenta pienākums ir </w:t>
      </w:r>
      <w:r w:rsidR="00F34092">
        <w:rPr>
          <w:szCs w:val="24"/>
        </w:rPr>
        <w:t>izslēgt šādus darījumus no portfeļa</w:t>
      </w:r>
      <w:r w:rsidR="006D5A86">
        <w:rPr>
          <w:szCs w:val="24"/>
        </w:rPr>
        <w:t xml:space="preserve"> un</w:t>
      </w:r>
      <w:r w:rsidR="00F34092">
        <w:rPr>
          <w:szCs w:val="24"/>
        </w:rPr>
        <w:t xml:space="preserve"> </w:t>
      </w:r>
      <w:r w:rsidR="00A262C9" w:rsidRPr="006D5A86">
        <w:rPr>
          <w:szCs w:val="24"/>
        </w:rPr>
        <w:t>finansiālās priekšrocības atmaksāt Sabiedrība</w:t>
      </w:r>
      <w:r w:rsidR="00AF40E4">
        <w:rPr>
          <w:szCs w:val="24"/>
        </w:rPr>
        <w:t>i</w:t>
      </w:r>
      <w:r>
        <w:rPr>
          <w:szCs w:val="24"/>
        </w:rPr>
        <w:t>.</w:t>
      </w:r>
    </w:p>
    <w:p w14:paraId="18A4879F" w14:textId="72A6690E" w:rsidR="00AF219E" w:rsidRPr="002827EF" w:rsidRDefault="00EF5B30" w:rsidP="00724F6B">
      <w:pPr>
        <w:pStyle w:val="BodyTextIndent3"/>
        <w:numPr>
          <w:ilvl w:val="1"/>
          <w:numId w:val="2"/>
        </w:numPr>
        <w:spacing w:after="120"/>
        <w:rPr>
          <w:szCs w:val="24"/>
        </w:rPr>
      </w:pPr>
      <w:r w:rsidRPr="000C6B59">
        <w:rPr>
          <w:szCs w:val="24"/>
        </w:rPr>
        <w:t xml:space="preserve">Īstenojot </w:t>
      </w:r>
      <w:proofErr w:type="spellStart"/>
      <w:r w:rsidR="00AF40E4">
        <w:rPr>
          <w:szCs w:val="24"/>
        </w:rPr>
        <w:t>P</w:t>
      </w:r>
      <w:r w:rsidRPr="000C6B59">
        <w:rPr>
          <w:szCs w:val="24"/>
        </w:rPr>
        <w:t>ortfeļgarantiju</w:t>
      </w:r>
      <w:proofErr w:type="spellEnd"/>
      <w:r w:rsidRPr="000C6B59">
        <w:rPr>
          <w:szCs w:val="24"/>
        </w:rPr>
        <w:t xml:space="preserve"> programmu, pretendents </w:t>
      </w:r>
      <w:r w:rsidR="00B22177" w:rsidRPr="000C6B59">
        <w:rPr>
          <w:szCs w:val="24"/>
        </w:rPr>
        <w:t>īsteno</w:t>
      </w:r>
      <w:r w:rsidRPr="000C6B59">
        <w:rPr>
          <w:szCs w:val="24"/>
        </w:rPr>
        <w:t xml:space="preserve"> konsekventu </w:t>
      </w:r>
      <w:r w:rsidR="00AF40E4">
        <w:rPr>
          <w:szCs w:val="24"/>
        </w:rPr>
        <w:t>finanšu pakalpojumu</w:t>
      </w:r>
      <w:r w:rsidR="00AF40E4" w:rsidRPr="000C6B59">
        <w:rPr>
          <w:szCs w:val="24"/>
        </w:rPr>
        <w:t xml:space="preserve"> </w:t>
      </w:r>
      <w:r w:rsidR="00AF40E4">
        <w:rPr>
          <w:szCs w:val="24"/>
        </w:rPr>
        <w:t xml:space="preserve">izsniegšanas </w:t>
      </w:r>
      <w:r w:rsidRPr="000C6B59">
        <w:rPr>
          <w:szCs w:val="24"/>
        </w:rPr>
        <w:t xml:space="preserve">politiku, īpaši attiecībā </w:t>
      </w:r>
      <w:r w:rsidR="00AF40E4">
        <w:rPr>
          <w:szCs w:val="24"/>
        </w:rPr>
        <w:t>uz</w:t>
      </w:r>
      <w:r w:rsidR="00AF40E4" w:rsidRPr="000C6B59">
        <w:rPr>
          <w:szCs w:val="24"/>
        </w:rPr>
        <w:t xml:space="preserve"> </w:t>
      </w:r>
      <w:r w:rsidR="00AF40E4">
        <w:rPr>
          <w:szCs w:val="24"/>
        </w:rPr>
        <w:t xml:space="preserve">aizdevumu </w:t>
      </w:r>
      <w:r w:rsidRPr="000C6B59">
        <w:rPr>
          <w:szCs w:val="24"/>
        </w:rPr>
        <w:t xml:space="preserve">portfeļa diversifikāciju, </w:t>
      </w:r>
      <w:r w:rsidR="00B22177" w:rsidRPr="000C6B59">
        <w:rPr>
          <w:szCs w:val="24"/>
        </w:rPr>
        <w:t>nodrošinot portfeļa vadību un riska diversifikāciju, vienlaikus ievērojot nozares standartus</w:t>
      </w:r>
      <w:r w:rsidR="00AF40E4">
        <w:rPr>
          <w:szCs w:val="24"/>
        </w:rPr>
        <w:t xml:space="preserve"> un programmas mērķu sasniegšanu.</w:t>
      </w:r>
    </w:p>
    <w:p w14:paraId="7AF3A531" w14:textId="1F4FAD08" w:rsidR="00044FC6" w:rsidRDefault="00AF40E4" w:rsidP="00724F6B">
      <w:pPr>
        <w:pStyle w:val="BodyTextIndent3"/>
        <w:numPr>
          <w:ilvl w:val="1"/>
          <w:numId w:val="2"/>
        </w:numPr>
        <w:spacing w:after="120"/>
        <w:rPr>
          <w:szCs w:val="24"/>
        </w:rPr>
      </w:pPr>
      <w:r>
        <w:rPr>
          <w:szCs w:val="24"/>
        </w:rPr>
        <w:t xml:space="preserve">Ar  </w:t>
      </w:r>
      <w:proofErr w:type="spellStart"/>
      <w:r>
        <w:rPr>
          <w:szCs w:val="24"/>
        </w:rPr>
        <w:t>Portfeļgarantiju</w:t>
      </w:r>
      <w:proofErr w:type="spellEnd"/>
      <w:r w:rsidR="007E271F">
        <w:rPr>
          <w:szCs w:val="24"/>
        </w:rPr>
        <w:t xml:space="preserve"> </w:t>
      </w:r>
      <w:r w:rsidR="00035C6D">
        <w:rPr>
          <w:szCs w:val="24"/>
        </w:rPr>
        <w:t>programmas ietvaros pieejamo finansējumu</w:t>
      </w:r>
      <w:r w:rsidR="00EC0BA6">
        <w:rPr>
          <w:szCs w:val="24"/>
        </w:rPr>
        <w:t xml:space="preserve"> otrajai kārtai</w:t>
      </w:r>
      <w:r w:rsidR="00044FC6">
        <w:rPr>
          <w:szCs w:val="24"/>
        </w:rPr>
        <w:t>:</w:t>
      </w:r>
    </w:p>
    <w:p w14:paraId="70153F1C" w14:textId="5F0F13DE" w:rsidR="00044FC6" w:rsidRDefault="00035C6D" w:rsidP="00724F6B">
      <w:pPr>
        <w:pStyle w:val="BodyTextIndent3"/>
        <w:numPr>
          <w:ilvl w:val="2"/>
          <w:numId w:val="2"/>
        </w:numPr>
        <w:spacing w:after="120"/>
        <w:rPr>
          <w:szCs w:val="24"/>
        </w:rPr>
      </w:pPr>
      <w:r w:rsidRPr="00044FC6">
        <w:rPr>
          <w:szCs w:val="24"/>
        </w:rPr>
        <w:t xml:space="preserve">minimālais </w:t>
      </w:r>
      <w:r w:rsidR="004956DA">
        <w:rPr>
          <w:szCs w:val="24"/>
        </w:rPr>
        <w:t xml:space="preserve">kopējais </w:t>
      </w:r>
      <w:r w:rsidR="009A3549">
        <w:rPr>
          <w:szCs w:val="24"/>
        </w:rPr>
        <w:t xml:space="preserve">atlasīto pretendentu </w:t>
      </w:r>
      <w:r w:rsidR="00A05523">
        <w:rPr>
          <w:szCs w:val="24"/>
        </w:rPr>
        <w:t>garant</w:t>
      </w:r>
      <w:r w:rsidR="00D8354F">
        <w:rPr>
          <w:szCs w:val="24"/>
        </w:rPr>
        <w:t>iju</w:t>
      </w:r>
      <w:r w:rsidR="00A05523">
        <w:rPr>
          <w:szCs w:val="24"/>
        </w:rPr>
        <w:t xml:space="preserve"> </w:t>
      </w:r>
      <w:r w:rsidRPr="00044FC6">
        <w:rPr>
          <w:szCs w:val="24"/>
        </w:rPr>
        <w:t xml:space="preserve">portfelis </w:t>
      </w:r>
      <w:r w:rsidR="00044FC6" w:rsidRPr="00044FC6">
        <w:rPr>
          <w:szCs w:val="24"/>
        </w:rPr>
        <w:t xml:space="preserve">ir </w:t>
      </w:r>
      <w:r w:rsidR="00EC0BA6">
        <w:rPr>
          <w:szCs w:val="24"/>
        </w:rPr>
        <w:t xml:space="preserve">12 </w:t>
      </w:r>
      <w:r w:rsidRPr="00044FC6">
        <w:rPr>
          <w:szCs w:val="24"/>
        </w:rPr>
        <w:t>milj</w:t>
      </w:r>
      <w:r w:rsidR="002F4AB4">
        <w:rPr>
          <w:szCs w:val="24"/>
        </w:rPr>
        <w:t>.</w:t>
      </w:r>
      <w:r w:rsidRPr="00044FC6">
        <w:rPr>
          <w:szCs w:val="24"/>
        </w:rPr>
        <w:t xml:space="preserve"> </w:t>
      </w:r>
      <w:proofErr w:type="spellStart"/>
      <w:r w:rsidRPr="00044FC6">
        <w:rPr>
          <w:i/>
          <w:szCs w:val="24"/>
        </w:rPr>
        <w:t>euro</w:t>
      </w:r>
      <w:proofErr w:type="spellEnd"/>
      <w:r w:rsidR="000C6B59">
        <w:rPr>
          <w:i/>
          <w:szCs w:val="24"/>
        </w:rPr>
        <w:t xml:space="preserve"> </w:t>
      </w:r>
      <w:r w:rsidR="00EC0BA6">
        <w:rPr>
          <w:i/>
          <w:szCs w:val="24"/>
        </w:rPr>
        <w:t>(</w:t>
      </w:r>
      <w:r w:rsidR="00EC0BA6" w:rsidRPr="00EC0BA6">
        <w:rPr>
          <w:szCs w:val="24"/>
        </w:rPr>
        <w:t>2.081</w:t>
      </w:r>
      <w:r w:rsidR="00AF40E4">
        <w:rPr>
          <w:szCs w:val="24"/>
        </w:rPr>
        <w:t xml:space="preserve"> </w:t>
      </w:r>
      <w:r w:rsidRPr="00044FC6">
        <w:rPr>
          <w:szCs w:val="24"/>
        </w:rPr>
        <w:t xml:space="preserve">milj. </w:t>
      </w:r>
      <w:proofErr w:type="spellStart"/>
      <w:r w:rsidRPr="00BF5D20">
        <w:rPr>
          <w:i/>
          <w:szCs w:val="24"/>
        </w:rPr>
        <w:t>euro</w:t>
      </w:r>
      <w:proofErr w:type="spellEnd"/>
      <w:r w:rsidRPr="00044FC6">
        <w:rPr>
          <w:szCs w:val="24"/>
        </w:rPr>
        <w:t>/</w:t>
      </w:r>
      <w:r w:rsidR="00A05523">
        <w:rPr>
          <w:szCs w:val="24"/>
        </w:rPr>
        <w:t>CAP</w:t>
      </w:r>
      <w:r w:rsidR="00044FC6" w:rsidRPr="00044FC6">
        <w:rPr>
          <w:szCs w:val="24"/>
        </w:rPr>
        <w:t xml:space="preserve"> (</w:t>
      </w:r>
      <w:proofErr w:type="spellStart"/>
      <w:r w:rsidR="00044FC6" w:rsidRPr="00044FC6">
        <w:rPr>
          <w:szCs w:val="24"/>
        </w:rPr>
        <w:t>max</w:t>
      </w:r>
      <w:proofErr w:type="spellEnd"/>
      <w:r w:rsidR="002F4AB4">
        <w:rPr>
          <w:szCs w:val="24"/>
        </w:rPr>
        <w:t xml:space="preserve">. </w:t>
      </w:r>
      <w:r w:rsidR="00BF5D20">
        <w:rPr>
          <w:szCs w:val="24"/>
        </w:rPr>
        <w:t>17.5</w:t>
      </w:r>
      <w:r w:rsidR="00CF71D5">
        <w:rPr>
          <w:szCs w:val="24"/>
        </w:rPr>
        <w:t xml:space="preserve"> </w:t>
      </w:r>
      <w:r w:rsidR="00044FC6" w:rsidRPr="00044FC6">
        <w:rPr>
          <w:szCs w:val="24"/>
        </w:rPr>
        <w:t>%</w:t>
      </w:r>
      <w:r w:rsidRPr="00044FC6">
        <w:rPr>
          <w:szCs w:val="24"/>
        </w:rPr>
        <w:t>)</w:t>
      </w:r>
      <w:r w:rsidR="000C6B59">
        <w:rPr>
          <w:szCs w:val="24"/>
        </w:rPr>
        <w:t>)</w:t>
      </w:r>
      <w:r w:rsidR="00E5669B">
        <w:rPr>
          <w:szCs w:val="24"/>
        </w:rPr>
        <w:t>;</w:t>
      </w:r>
    </w:p>
    <w:p w14:paraId="7A230E2E" w14:textId="607A10E0" w:rsidR="00A05523" w:rsidRDefault="00044FC6" w:rsidP="00724F6B">
      <w:pPr>
        <w:pStyle w:val="BodyTextIndent3"/>
        <w:numPr>
          <w:ilvl w:val="2"/>
          <w:numId w:val="2"/>
        </w:numPr>
        <w:spacing w:after="120"/>
        <w:rPr>
          <w:szCs w:val="24"/>
        </w:rPr>
      </w:pPr>
      <w:r w:rsidRPr="00044FC6">
        <w:rPr>
          <w:szCs w:val="24"/>
        </w:rPr>
        <w:t>minimālais</w:t>
      </w:r>
      <w:r>
        <w:rPr>
          <w:szCs w:val="24"/>
        </w:rPr>
        <w:t xml:space="preserve"> </w:t>
      </w:r>
      <w:r w:rsidR="004956DA">
        <w:rPr>
          <w:szCs w:val="24"/>
        </w:rPr>
        <w:t>kopējais</w:t>
      </w:r>
      <w:r w:rsidR="009A3549">
        <w:rPr>
          <w:szCs w:val="24"/>
        </w:rPr>
        <w:t xml:space="preserve"> atlasīto pretendentu</w:t>
      </w:r>
      <w:r w:rsidR="004956DA">
        <w:rPr>
          <w:szCs w:val="24"/>
        </w:rPr>
        <w:t xml:space="preserve"> </w:t>
      </w:r>
      <w:r w:rsidR="002F4AB4">
        <w:rPr>
          <w:szCs w:val="24"/>
        </w:rPr>
        <w:t>aizdevumu</w:t>
      </w:r>
      <w:r w:rsidR="00F34092">
        <w:rPr>
          <w:szCs w:val="24"/>
        </w:rPr>
        <w:t xml:space="preserve"> </w:t>
      </w:r>
      <w:r>
        <w:rPr>
          <w:szCs w:val="24"/>
        </w:rPr>
        <w:t xml:space="preserve">portfelis ir </w:t>
      </w:r>
      <w:r w:rsidR="00EC0BA6">
        <w:rPr>
          <w:szCs w:val="24"/>
        </w:rPr>
        <w:t>15</w:t>
      </w:r>
      <w:r w:rsidR="00D8354F">
        <w:rPr>
          <w:szCs w:val="24"/>
        </w:rPr>
        <w:t xml:space="preserve"> </w:t>
      </w:r>
      <w:r>
        <w:rPr>
          <w:szCs w:val="24"/>
        </w:rPr>
        <w:t>milj.</w:t>
      </w:r>
      <w:r w:rsidR="00AF40E4">
        <w:rPr>
          <w:szCs w:val="24"/>
        </w:rPr>
        <w:t xml:space="preserve"> </w:t>
      </w:r>
      <w:proofErr w:type="spellStart"/>
      <w:r w:rsidRPr="00044FC6">
        <w:rPr>
          <w:i/>
          <w:szCs w:val="24"/>
        </w:rPr>
        <w:t>euro</w:t>
      </w:r>
      <w:proofErr w:type="spellEnd"/>
      <w:r w:rsidR="000C6B59">
        <w:rPr>
          <w:i/>
          <w:szCs w:val="24"/>
        </w:rPr>
        <w:t xml:space="preserve"> (</w:t>
      </w:r>
      <w:r w:rsidRPr="00044FC6">
        <w:rPr>
          <w:i/>
          <w:szCs w:val="24"/>
        </w:rPr>
        <w:t>aizdevumu portfelis/garantijas</w:t>
      </w:r>
      <w:r>
        <w:rPr>
          <w:i/>
          <w:szCs w:val="24"/>
        </w:rPr>
        <w:t xml:space="preserve"> likme</w:t>
      </w:r>
      <w:r w:rsidR="00A05523">
        <w:rPr>
          <w:i/>
          <w:szCs w:val="24"/>
        </w:rPr>
        <w:t xml:space="preserve"> </w:t>
      </w:r>
      <w:r w:rsidR="00A05523">
        <w:rPr>
          <w:szCs w:val="24"/>
        </w:rPr>
        <w:t>(max</w:t>
      </w:r>
      <w:r w:rsidR="00BF5D20">
        <w:rPr>
          <w:szCs w:val="24"/>
        </w:rPr>
        <w:t>80</w:t>
      </w:r>
      <w:r w:rsidR="00A05523" w:rsidRPr="00044FC6">
        <w:rPr>
          <w:szCs w:val="24"/>
        </w:rPr>
        <w:t>%)</w:t>
      </w:r>
      <w:r w:rsidR="000C6B59">
        <w:rPr>
          <w:szCs w:val="24"/>
        </w:rPr>
        <w:t>)</w:t>
      </w:r>
      <w:r w:rsidR="00E235D8">
        <w:rPr>
          <w:szCs w:val="24"/>
        </w:rPr>
        <w:t>.</w:t>
      </w:r>
    </w:p>
    <w:p w14:paraId="2DE3E20A" w14:textId="195F52DA" w:rsidR="00E235D8" w:rsidRDefault="00AF40E4" w:rsidP="00724F6B">
      <w:pPr>
        <w:pStyle w:val="BodyTextIndent3"/>
        <w:numPr>
          <w:ilvl w:val="1"/>
          <w:numId w:val="2"/>
        </w:numPr>
        <w:spacing w:after="120"/>
        <w:rPr>
          <w:szCs w:val="24"/>
        </w:rPr>
      </w:pPr>
      <w:r>
        <w:rPr>
          <w:szCs w:val="24"/>
        </w:rPr>
        <w:t>P</w:t>
      </w:r>
      <w:r w:rsidR="00E235D8" w:rsidRPr="00427EA1">
        <w:rPr>
          <w:szCs w:val="24"/>
        </w:rPr>
        <w:t xml:space="preserve">iemērs, ja garantijas likme ir </w:t>
      </w:r>
      <w:r w:rsidR="00EC0BA6">
        <w:rPr>
          <w:szCs w:val="24"/>
        </w:rPr>
        <w:t>7</w:t>
      </w:r>
      <w:r w:rsidR="00E235D8" w:rsidRPr="00427EA1">
        <w:rPr>
          <w:szCs w:val="24"/>
        </w:rPr>
        <w:t>0%, ierobežotā garantija</w:t>
      </w:r>
      <w:r w:rsidR="00F34092">
        <w:rPr>
          <w:szCs w:val="24"/>
        </w:rPr>
        <w:t>s</w:t>
      </w:r>
      <w:r w:rsidR="00E235D8" w:rsidRPr="00427EA1">
        <w:rPr>
          <w:szCs w:val="24"/>
        </w:rPr>
        <w:t xml:space="preserve"> </w:t>
      </w:r>
      <w:r w:rsidR="00F34092">
        <w:rPr>
          <w:szCs w:val="24"/>
        </w:rPr>
        <w:t>likme</w:t>
      </w:r>
      <w:r w:rsidR="00F34092" w:rsidRPr="00427EA1">
        <w:rPr>
          <w:szCs w:val="24"/>
        </w:rPr>
        <w:t xml:space="preserve"> </w:t>
      </w:r>
      <w:r w:rsidR="00E235D8" w:rsidRPr="00427EA1">
        <w:rPr>
          <w:szCs w:val="24"/>
        </w:rPr>
        <w:t>(</w:t>
      </w:r>
      <w:proofErr w:type="spellStart"/>
      <w:r w:rsidR="00E235D8" w:rsidRPr="00427EA1">
        <w:rPr>
          <w:szCs w:val="24"/>
        </w:rPr>
        <w:t>cap</w:t>
      </w:r>
      <w:proofErr w:type="spellEnd"/>
      <w:r w:rsidR="00E235D8" w:rsidRPr="00427EA1">
        <w:rPr>
          <w:szCs w:val="24"/>
        </w:rPr>
        <w:t xml:space="preserve">) </w:t>
      </w:r>
      <w:r>
        <w:rPr>
          <w:szCs w:val="24"/>
        </w:rPr>
        <w:t xml:space="preserve">ir </w:t>
      </w:r>
      <w:r w:rsidR="00E235D8" w:rsidRPr="00427EA1">
        <w:rPr>
          <w:szCs w:val="24"/>
        </w:rPr>
        <w:t>1</w:t>
      </w:r>
      <w:r w:rsidR="00EC0BA6">
        <w:rPr>
          <w:szCs w:val="24"/>
        </w:rPr>
        <w:t>5</w:t>
      </w:r>
      <w:r w:rsidR="00CF71D5">
        <w:rPr>
          <w:szCs w:val="24"/>
        </w:rPr>
        <w:t xml:space="preserve"> </w:t>
      </w:r>
      <w:r w:rsidR="00E235D8" w:rsidRPr="00427EA1">
        <w:rPr>
          <w:szCs w:val="24"/>
        </w:rPr>
        <w:t>%</w:t>
      </w:r>
      <w:r w:rsidR="002827EF">
        <w:rPr>
          <w:szCs w:val="24"/>
        </w:rPr>
        <w:t>:</w:t>
      </w:r>
      <w:r w:rsidR="00E235D8" w:rsidRPr="00427EA1">
        <w:rPr>
          <w:szCs w:val="24"/>
        </w:rPr>
        <w:t xml:space="preserve"> </w:t>
      </w:r>
    </w:p>
    <w:p w14:paraId="63D6D966" w14:textId="2D01C893" w:rsidR="00BF5D20" w:rsidRDefault="00BF5D20" w:rsidP="00BF5D20">
      <w:pPr>
        <w:pStyle w:val="BodyTextIndent3"/>
        <w:spacing w:after="120"/>
        <w:rPr>
          <w:szCs w:val="24"/>
        </w:rPr>
      </w:pPr>
    </w:p>
    <w:p w14:paraId="3878765C" w14:textId="2319BB00" w:rsidR="00BF5D20" w:rsidRPr="00B10B1B" w:rsidRDefault="00BF5D20" w:rsidP="00BF5D20">
      <w:pPr>
        <w:pStyle w:val="BodyTextIndent3"/>
        <w:spacing w:after="120"/>
        <w:rPr>
          <w:szCs w:val="24"/>
        </w:rPr>
      </w:pPr>
    </w:p>
    <w:p w14:paraId="1A635FB2" w14:textId="77777777" w:rsidR="00E235D8" w:rsidRDefault="00E235D8" w:rsidP="00724F6B">
      <w:pPr>
        <w:pStyle w:val="BodyTextIndent3"/>
        <w:spacing w:after="120"/>
        <w:ind w:left="720" w:firstLine="0"/>
        <w:jc w:val="center"/>
        <w:rPr>
          <w:szCs w:val="24"/>
        </w:rPr>
      </w:pPr>
      <w:r>
        <w:rPr>
          <w:noProof/>
          <w:lang w:eastAsia="lv-LV"/>
        </w:rPr>
        <w:lastRenderedPageBreak/>
        <w:drawing>
          <wp:inline distT="0" distB="0" distL="0" distR="0" wp14:anchorId="2145D9C6" wp14:editId="0DD95E3D">
            <wp:extent cx="4800600" cy="3276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800600" cy="3276600"/>
                    </a:xfrm>
                    <a:prstGeom prst="rect">
                      <a:avLst/>
                    </a:prstGeom>
                  </pic:spPr>
                </pic:pic>
              </a:graphicData>
            </a:graphic>
          </wp:inline>
        </w:drawing>
      </w:r>
    </w:p>
    <w:p w14:paraId="0207912D" w14:textId="543CCE60" w:rsidR="002F1AD4" w:rsidRDefault="002F1AD4" w:rsidP="001F34A8">
      <w:pPr>
        <w:pStyle w:val="BodyTextIndent3"/>
        <w:spacing w:after="120"/>
        <w:ind w:firstLine="0"/>
        <w:rPr>
          <w:szCs w:val="24"/>
        </w:rPr>
      </w:pPr>
    </w:p>
    <w:p w14:paraId="7E5D4F81" w14:textId="77777777" w:rsidR="00A1188F" w:rsidRPr="000C6B59" w:rsidRDefault="00A1188F" w:rsidP="00724F6B">
      <w:pPr>
        <w:numPr>
          <w:ilvl w:val="0"/>
          <w:numId w:val="2"/>
        </w:numPr>
        <w:spacing w:after="120"/>
        <w:jc w:val="both"/>
        <w:rPr>
          <w:b/>
          <w:bCs/>
        </w:rPr>
      </w:pPr>
      <w:proofErr w:type="spellStart"/>
      <w:r w:rsidRPr="000C6B59">
        <w:rPr>
          <w:b/>
          <w:bCs/>
        </w:rPr>
        <w:t>Portfeļgarantiju</w:t>
      </w:r>
      <w:proofErr w:type="spellEnd"/>
      <w:r w:rsidRPr="000C6B59">
        <w:rPr>
          <w:b/>
          <w:bCs/>
        </w:rPr>
        <w:t xml:space="preserve"> programmas ieviešanas nosacījumi</w:t>
      </w:r>
    </w:p>
    <w:p w14:paraId="5CC009F0" w14:textId="7BAC5575" w:rsidR="00A1188F" w:rsidRDefault="00A1188F" w:rsidP="00724F6B">
      <w:pPr>
        <w:pStyle w:val="BodyTextIndent3"/>
        <w:numPr>
          <w:ilvl w:val="1"/>
          <w:numId w:val="2"/>
        </w:numPr>
        <w:spacing w:after="120"/>
        <w:rPr>
          <w:szCs w:val="24"/>
        </w:rPr>
      </w:pPr>
      <w:proofErr w:type="spellStart"/>
      <w:r>
        <w:rPr>
          <w:szCs w:val="24"/>
        </w:rPr>
        <w:t>Portfeļg</w:t>
      </w:r>
      <w:r w:rsidRPr="00C24D1E">
        <w:rPr>
          <w:szCs w:val="24"/>
        </w:rPr>
        <w:t>arantijas</w:t>
      </w:r>
      <w:proofErr w:type="spellEnd"/>
      <w:r w:rsidRPr="00C24D1E">
        <w:rPr>
          <w:szCs w:val="24"/>
        </w:rPr>
        <w:t xml:space="preserve"> </w:t>
      </w:r>
      <w:r w:rsidR="002F4AB4">
        <w:rPr>
          <w:szCs w:val="24"/>
        </w:rPr>
        <w:t xml:space="preserve">programmas ietvaros tiek sniegts </w:t>
      </w:r>
      <w:proofErr w:type="spellStart"/>
      <w:r w:rsidR="002F4AB4" w:rsidRPr="00565C2A">
        <w:rPr>
          <w:i/>
          <w:szCs w:val="24"/>
        </w:rPr>
        <w:t>de</w:t>
      </w:r>
      <w:proofErr w:type="spellEnd"/>
      <w:r w:rsidRPr="00C24D1E">
        <w:rPr>
          <w:i/>
          <w:szCs w:val="24"/>
        </w:rPr>
        <w:t xml:space="preserve"> </w:t>
      </w:r>
      <w:proofErr w:type="spellStart"/>
      <w:r w:rsidRPr="00C24D1E">
        <w:rPr>
          <w:i/>
          <w:szCs w:val="24"/>
        </w:rPr>
        <w:t>minimis</w:t>
      </w:r>
      <w:proofErr w:type="spellEnd"/>
      <w:r w:rsidRPr="00C24D1E">
        <w:rPr>
          <w:szCs w:val="24"/>
        </w:rPr>
        <w:t xml:space="preserve"> atbalst</w:t>
      </w:r>
      <w:r w:rsidR="002F4AB4">
        <w:rPr>
          <w:szCs w:val="24"/>
        </w:rPr>
        <w:t>s</w:t>
      </w:r>
      <w:r w:rsidRPr="00C24D1E">
        <w:rPr>
          <w:szCs w:val="24"/>
        </w:rPr>
        <w:t xml:space="preserve"> saskaņā ar Komisijas 2013.gada 18.decembra Regulu (ES) Nr.1407/2013 par Līguma par Eiropas Savienības darbību 107. un 108.panta piemērošanu </w:t>
      </w:r>
      <w:proofErr w:type="spellStart"/>
      <w:r w:rsidRPr="00D672C8">
        <w:rPr>
          <w:i/>
          <w:szCs w:val="24"/>
        </w:rPr>
        <w:t>de</w:t>
      </w:r>
      <w:proofErr w:type="spellEnd"/>
      <w:r w:rsidRPr="00D672C8">
        <w:rPr>
          <w:i/>
          <w:szCs w:val="24"/>
        </w:rPr>
        <w:t xml:space="preserve"> </w:t>
      </w:r>
      <w:proofErr w:type="spellStart"/>
      <w:r w:rsidRPr="00D672C8">
        <w:rPr>
          <w:i/>
          <w:szCs w:val="24"/>
        </w:rPr>
        <w:t>minimis</w:t>
      </w:r>
      <w:proofErr w:type="spellEnd"/>
      <w:r w:rsidRPr="00C24D1E">
        <w:rPr>
          <w:szCs w:val="24"/>
        </w:rPr>
        <w:t xml:space="preserve">  atbalstam (Eiropas Savienības Oficiālais Vēstnesis, 2013.gada 24.decembris, Nr. L 352) (turpmāk – Komisijas regula Nr.1407/2013)</w:t>
      </w:r>
      <w:r>
        <w:rPr>
          <w:szCs w:val="24"/>
        </w:rPr>
        <w:t>.</w:t>
      </w:r>
    </w:p>
    <w:p w14:paraId="4E4A229D" w14:textId="1D577266" w:rsidR="00A1188F" w:rsidRDefault="00A1188F" w:rsidP="00724F6B">
      <w:pPr>
        <w:pStyle w:val="BodyTextIndent3"/>
        <w:numPr>
          <w:ilvl w:val="1"/>
          <w:numId w:val="2"/>
        </w:numPr>
        <w:spacing w:after="120"/>
        <w:rPr>
          <w:szCs w:val="24"/>
        </w:rPr>
      </w:pPr>
      <w:proofErr w:type="spellStart"/>
      <w:r>
        <w:rPr>
          <w:szCs w:val="24"/>
        </w:rPr>
        <w:t>Portfeļgarantiju</w:t>
      </w:r>
      <w:proofErr w:type="spellEnd"/>
      <w:r>
        <w:rPr>
          <w:szCs w:val="24"/>
        </w:rPr>
        <w:t xml:space="preserve"> programmas īstenošanas termiņš ir</w:t>
      </w:r>
      <w:r w:rsidRPr="00427EA1">
        <w:rPr>
          <w:szCs w:val="24"/>
        </w:rPr>
        <w:t xml:space="preserve"> </w:t>
      </w:r>
      <w:r>
        <w:rPr>
          <w:szCs w:val="24"/>
        </w:rPr>
        <w:t>12</w:t>
      </w:r>
      <w:r w:rsidRPr="00427EA1">
        <w:rPr>
          <w:szCs w:val="24"/>
        </w:rPr>
        <w:t xml:space="preserve"> gadi pēc </w:t>
      </w:r>
      <w:r w:rsidR="002F4AB4">
        <w:rPr>
          <w:szCs w:val="24"/>
        </w:rPr>
        <w:t>L</w:t>
      </w:r>
      <w:r w:rsidRPr="00427EA1">
        <w:rPr>
          <w:szCs w:val="24"/>
        </w:rPr>
        <w:t xml:space="preserve">īguma spēkā stāšanās </w:t>
      </w:r>
      <w:r>
        <w:rPr>
          <w:szCs w:val="24"/>
        </w:rPr>
        <w:t xml:space="preserve">dienas </w:t>
      </w:r>
      <w:r w:rsidRPr="00427EA1">
        <w:rPr>
          <w:szCs w:val="24"/>
        </w:rPr>
        <w:t xml:space="preserve">vai līdz pušu saistību beigām saskaņā ar </w:t>
      </w:r>
      <w:r>
        <w:rPr>
          <w:szCs w:val="24"/>
        </w:rPr>
        <w:t>L</w:t>
      </w:r>
      <w:r w:rsidRPr="00427EA1">
        <w:rPr>
          <w:szCs w:val="24"/>
        </w:rPr>
        <w:t>īgumu</w:t>
      </w:r>
      <w:r>
        <w:rPr>
          <w:szCs w:val="24"/>
        </w:rPr>
        <w:t>. Līguma termiņš veidojas šādi:</w:t>
      </w:r>
    </w:p>
    <w:p w14:paraId="0D1EC67E" w14:textId="3ECC8780" w:rsidR="00A1188F" w:rsidRDefault="002F4AB4" w:rsidP="00724F6B">
      <w:pPr>
        <w:pStyle w:val="BodyTextIndent3"/>
        <w:numPr>
          <w:ilvl w:val="2"/>
          <w:numId w:val="2"/>
        </w:numPr>
        <w:spacing w:after="120"/>
        <w:rPr>
          <w:szCs w:val="24"/>
        </w:rPr>
      </w:pPr>
      <w:r>
        <w:rPr>
          <w:szCs w:val="24"/>
        </w:rPr>
        <w:t>f</w:t>
      </w:r>
      <w:r w:rsidR="00A1188F">
        <w:rPr>
          <w:szCs w:val="24"/>
        </w:rPr>
        <w:t>inanšu pakalpojumu iekļaušanas termiņš aizdevumu portfelī ir divi gadi, ko, pusēm vienojoties, var pagarināt vēl par diviem gadiem;</w:t>
      </w:r>
    </w:p>
    <w:p w14:paraId="70B18100" w14:textId="11C7F4D7" w:rsidR="00A1188F" w:rsidRDefault="002F4AB4" w:rsidP="00724F6B">
      <w:pPr>
        <w:pStyle w:val="BodyTextIndent3"/>
        <w:numPr>
          <w:ilvl w:val="2"/>
          <w:numId w:val="2"/>
        </w:numPr>
        <w:spacing w:after="120"/>
        <w:rPr>
          <w:szCs w:val="24"/>
        </w:rPr>
      </w:pPr>
      <w:r>
        <w:rPr>
          <w:szCs w:val="24"/>
        </w:rPr>
        <w:t>f</w:t>
      </w:r>
      <w:r w:rsidR="00A1188F">
        <w:rPr>
          <w:szCs w:val="24"/>
        </w:rPr>
        <w:t>inanšu pakalpojumu maksimālais termiņš ir 10 gadi, ievērojot MK noteikumu Nr</w:t>
      </w:r>
      <w:r w:rsidR="00B84BE0">
        <w:rPr>
          <w:szCs w:val="24"/>
        </w:rPr>
        <w:t xml:space="preserve">.537 </w:t>
      </w:r>
      <w:r w:rsidR="00A1188F">
        <w:rPr>
          <w:szCs w:val="24"/>
        </w:rPr>
        <w:t>10.5-10.7.apakšpunktus</w:t>
      </w:r>
      <w:r w:rsidR="001F34A8">
        <w:rPr>
          <w:szCs w:val="24"/>
        </w:rPr>
        <w:t xml:space="preserve"> (MK noteikumu Nr.537 10.6.punktā minēto finanšu pakalpojumu  termiņš ir pagarināms līdz 5 gadiem)</w:t>
      </w:r>
      <w:r w:rsidR="00A1188F">
        <w:rPr>
          <w:szCs w:val="24"/>
        </w:rPr>
        <w:t>.</w:t>
      </w:r>
    </w:p>
    <w:p w14:paraId="64AEC3CD" w14:textId="77777777" w:rsidR="004C62AF" w:rsidRPr="00D672C8" w:rsidRDefault="004C62AF" w:rsidP="00724F6B">
      <w:pPr>
        <w:pStyle w:val="BodyTextIndent3"/>
        <w:numPr>
          <w:ilvl w:val="1"/>
          <w:numId w:val="2"/>
        </w:numPr>
        <w:spacing w:after="120"/>
        <w:rPr>
          <w:szCs w:val="24"/>
        </w:rPr>
      </w:pPr>
      <w:r w:rsidRPr="00D672C8">
        <w:rPr>
          <w:szCs w:val="24"/>
        </w:rPr>
        <w:t>Garantijas prēmija – vienreizēja maksa par garantiju:</w:t>
      </w:r>
    </w:p>
    <w:p w14:paraId="1F9A7168" w14:textId="076D68DA" w:rsidR="004C62AF" w:rsidRPr="00D672C8" w:rsidRDefault="00CF71D5" w:rsidP="00724F6B">
      <w:pPr>
        <w:pStyle w:val="ListParagraph"/>
        <w:numPr>
          <w:ilvl w:val="2"/>
          <w:numId w:val="2"/>
        </w:numPr>
        <w:spacing w:after="120"/>
        <w:contextualSpacing w:val="0"/>
        <w:jc w:val="both"/>
      </w:pPr>
      <w:bookmarkStart w:id="6" w:name="_Ref493594272"/>
      <w:r>
        <w:t>f</w:t>
      </w:r>
      <w:r w:rsidR="004C62AF" w:rsidRPr="00D672C8">
        <w:t>inanšu pakalpojumiem līdz 2 gadiem – 0</w:t>
      </w:r>
      <w:r w:rsidR="00D53592">
        <w:t>,</w:t>
      </w:r>
      <w:r w:rsidR="00B07F19">
        <w:t>8</w:t>
      </w:r>
      <w:r w:rsidR="00A82D2D">
        <w:t>0</w:t>
      </w:r>
      <w:r>
        <w:t xml:space="preserve"> </w:t>
      </w:r>
      <w:r w:rsidR="004C62AF" w:rsidRPr="00D672C8">
        <w:t>%;</w:t>
      </w:r>
      <w:bookmarkEnd w:id="6"/>
    </w:p>
    <w:p w14:paraId="02FD65C5" w14:textId="2A1D6B24" w:rsidR="004C62AF" w:rsidRPr="00D672C8" w:rsidRDefault="00CF71D5" w:rsidP="00724F6B">
      <w:pPr>
        <w:pStyle w:val="ListParagraph"/>
        <w:numPr>
          <w:ilvl w:val="2"/>
          <w:numId w:val="2"/>
        </w:numPr>
        <w:spacing w:after="120"/>
        <w:contextualSpacing w:val="0"/>
        <w:jc w:val="both"/>
      </w:pPr>
      <w:bookmarkStart w:id="7" w:name="_Ref493594292"/>
      <w:r>
        <w:t>f</w:t>
      </w:r>
      <w:r w:rsidR="004C62AF" w:rsidRPr="00D672C8">
        <w:t>inanšu pakalpojumiem  virs 2 gadiem – 1</w:t>
      </w:r>
      <w:r w:rsidR="00D53592">
        <w:t>,</w:t>
      </w:r>
      <w:r w:rsidR="004C62AF" w:rsidRPr="00D672C8">
        <w:t>42</w:t>
      </w:r>
      <w:r>
        <w:t xml:space="preserve"> </w:t>
      </w:r>
      <w:r w:rsidR="00F758B4">
        <w:t>%</w:t>
      </w:r>
      <w:r w:rsidR="004C62AF">
        <w:t>;</w:t>
      </w:r>
      <w:bookmarkEnd w:id="7"/>
    </w:p>
    <w:p w14:paraId="4E35F8E1" w14:textId="1D8E1C6F" w:rsidR="004C62AF" w:rsidRPr="004C62AF" w:rsidRDefault="00D53592" w:rsidP="00724F6B">
      <w:pPr>
        <w:pStyle w:val="ListParagraph"/>
        <w:numPr>
          <w:ilvl w:val="2"/>
          <w:numId w:val="2"/>
        </w:numPr>
        <w:spacing w:after="120"/>
        <w:contextualSpacing w:val="0"/>
        <w:jc w:val="both"/>
      </w:pPr>
      <w:r>
        <w:t>p</w:t>
      </w:r>
      <w:r w:rsidRPr="00D672C8">
        <w:t xml:space="preserve">agarinot </w:t>
      </w:r>
      <w:r w:rsidR="004C62AF" w:rsidRPr="00D672C8">
        <w:t>finanšu pakalpojum</w:t>
      </w:r>
      <w:r w:rsidR="00CF71D5">
        <w:t>a darbības termiņu</w:t>
      </w:r>
      <w:r w:rsidR="004C62AF" w:rsidRPr="00D672C8">
        <w:t xml:space="preserve"> ar Sabiedrības garantiju, ievērojot MK noteikumu </w:t>
      </w:r>
      <w:r>
        <w:t>Nr</w:t>
      </w:r>
      <w:r w:rsidR="00B84BE0">
        <w:t xml:space="preserve">. 537 </w:t>
      </w:r>
      <w:r w:rsidR="00F758B4">
        <w:t>nosacījumus</w:t>
      </w:r>
      <w:r w:rsidR="004C62AF" w:rsidRPr="00D672C8">
        <w:t xml:space="preserve">, atkārtoti tiek maksāta vienreizējā </w:t>
      </w:r>
      <w:r w:rsidR="00CF71D5">
        <w:t xml:space="preserve">garantijas </w:t>
      </w:r>
      <w:r w:rsidR="004C62AF" w:rsidRPr="00D672C8">
        <w:t>prēmija</w:t>
      </w:r>
      <w:r w:rsidR="00F758B4">
        <w:t xml:space="preserve">, ievērojot </w:t>
      </w:r>
      <w:r w:rsidR="00CF71D5">
        <w:t xml:space="preserve">atlases noteikumu </w:t>
      </w:r>
      <w:r w:rsidR="00F758B4">
        <w:fldChar w:fldCharType="begin"/>
      </w:r>
      <w:r w:rsidR="00F758B4">
        <w:instrText xml:space="preserve"> REF _Ref493594272 \r \h </w:instrText>
      </w:r>
      <w:r w:rsidR="00F758B4">
        <w:fldChar w:fldCharType="separate"/>
      </w:r>
      <w:r w:rsidR="00946EC0">
        <w:t>3.3.1</w:t>
      </w:r>
      <w:r w:rsidR="00F758B4">
        <w:fldChar w:fldCharType="end"/>
      </w:r>
      <w:r w:rsidR="004C62AF">
        <w:t>.</w:t>
      </w:r>
      <w:r w:rsidR="00F758B4">
        <w:t xml:space="preserve"> un </w:t>
      </w:r>
      <w:r w:rsidR="00F758B4">
        <w:fldChar w:fldCharType="begin"/>
      </w:r>
      <w:r w:rsidR="00F758B4">
        <w:instrText xml:space="preserve"> REF _Ref493594292 \r \h </w:instrText>
      </w:r>
      <w:r w:rsidR="00F758B4">
        <w:fldChar w:fldCharType="separate"/>
      </w:r>
      <w:r w:rsidR="00946EC0">
        <w:t>3.3.2</w:t>
      </w:r>
      <w:r w:rsidR="00F758B4">
        <w:fldChar w:fldCharType="end"/>
      </w:r>
      <w:r w:rsidR="00F758B4">
        <w:t>.punktu.</w:t>
      </w:r>
    </w:p>
    <w:p w14:paraId="0799A011" w14:textId="73D5A24F" w:rsidR="00E5669B" w:rsidRDefault="00B84BE0" w:rsidP="00724F6B">
      <w:pPr>
        <w:pStyle w:val="BodyTextIndent3"/>
        <w:numPr>
          <w:ilvl w:val="1"/>
          <w:numId w:val="2"/>
        </w:numPr>
        <w:spacing w:after="120"/>
        <w:rPr>
          <w:szCs w:val="24"/>
        </w:rPr>
      </w:pPr>
      <w:r w:rsidRPr="000C6B59">
        <w:rPr>
          <w:szCs w:val="24"/>
        </w:rPr>
        <w:t>Saskaņā ar Līgum</w:t>
      </w:r>
      <w:r w:rsidR="00CF71D5">
        <w:rPr>
          <w:szCs w:val="24"/>
        </w:rPr>
        <w:t>a nosacījumiem</w:t>
      </w:r>
      <w:r w:rsidRPr="000C6B59">
        <w:rPr>
          <w:szCs w:val="24"/>
        </w:rPr>
        <w:t xml:space="preserve"> </w:t>
      </w:r>
      <w:r w:rsidR="00CF71D5">
        <w:rPr>
          <w:szCs w:val="24"/>
        </w:rPr>
        <w:t>pretendents</w:t>
      </w:r>
      <w:r w:rsidR="00CF71D5" w:rsidRPr="000C6B59">
        <w:rPr>
          <w:szCs w:val="24"/>
        </w:rPr>
        <w:t xml:space="preserve"> </w:t>
      </w:r>
      <w:r w:rsidRPr="000C6B59">
        <w:rPr>
          <w:szCs w:val="24"/>
        </w:rPr>
        <w:t xml:space="preserve">reizi ceturksnī iesniedz </w:t>
      </w:r>
      <w:r w:rsidR="00CF71D5" w:rsidRPr="000C6B59">
        <w:rPr>
          <w:szCs w:val="24"/>
        </w:rPr>
        <w:t>Sabiedrīb</w:t>
      </w:r>
      <w:r w:rsidR="00CF71D5">
        <w:rPr>
          <w:szCs w:val="24"/>
        </w:rPr>
        <w:t>ai</w:t>
      </w:r>
      <w:r w:rsidR="00CF71D5" w:rsidRPr="000C6B59">
        <w:rPr>
          <w:szCs w:val="24"/>
        </w:rPr>
        <w:t xml:space="preserve"> </w:t>
      </w:r>
      <w:r w:rsidR="00565C2A">
        <w:rPr>
          <w:szCs w:val="24"/>
        </w:rPr>
        <w:t>pārskatu</w:t>
      </w:r>
      <w:r w:rsidR="00CF71D5">
        <w:rPr>
          <w:szCs w:val="24"/>
        </w:rPr>
        <w:t xml:space="preserve"> </w:t>
      </w:r>
      <w:r w:rsidR="00A1188F" w:rsidRPr="00B10B1B">
        <w:rPr>
          <w:szCs w:val="24"/>
        </w:rPr>
        <w:t xml:space="preserve">par </w:t>
      </w:r>
      <w:r w:rsidR="00A1188F">
        <w:rPr>
          <w:szCs w:val="24"/>
        </w:rPr>
        <w:t>atbilstošiem finanšu pakalpojumiem</w:t>
      </w:r>
      <w:r w:rsidR="00A1188F" w:rsidRPr="00B10B1B">
        <w:rPr>
          <w:szCs w:val="24"/>
        </w:rPr>
        <w:t>, k</w:t>
      </w:r>
      <w:r w:rsidR="00DA0A23">
        <w:rPr>
          <w:szCs w:val="24"/>
        </w:rPr>
        <w:t xml:space="preserve">uri </w:t>
      </w:r>
      <w:r w:rsidR="00A1188F" w:rsidRPr="00B10B1B">
        <w:rPr>
          <w:szCs w:val="24"/>
        </w:rPr>
        <w:t xml:space="preserve"> </w:t>
      </w:r>
      <w:r w:rsidR="00DA0A23">
        <w:rPr>
          <w:szCs w:val="24"/>
        </w:rPr>
        <w:t>ir</w:t>
      </w:r>
      <w:r w:rsidR="00A1188F">
        <w:rPr>
          <w:szCs w:val="24"/>
        </w:rPr>
        <w:t xml:space="preserve"> iekļauti aizdevumu portfelī </w:t>
      </w:r>
      <w:r w:rsidR="00DA0A23">
        <w:rPr>
          <w:szCs w:val="24"/>
        </w:rPr>
        <w:t xml:space="preserve">ar </w:t>
      </w:r>
      <w:proofErr w:type="spellStart"/>
      <w:r w:rsidR="00A1188F">
        <w:rPr>
          <w:szCs w:val="24"/>
        </w:rPr>
        <w:t>portfeļgarantij</w:t>
      </w:r>
      <w:r w:rsidR="00DA0A23">
        <w:rPr>
          <w:szCs w:val="24"/>
        </w:rPr>
        <w:t>u</w:t>
      </w:r>
      <w:proofErr w:type="spellEnd"/>
      <w:r w:rsidR="00A1188F" w:rsidRPr="00B10B1B">
        <w:rPr>
          <w:szCs w:val="24"/>
        </w:rPr>
        <w:t xml:space="preserve">. </w:t>
      </w:r>
    </w:p>
    <w:p w14:paraId="2B9E6BDE" w14:textId="20D5360D" w:rsidR="00A1188F" w:rsidRPr="00565C2A" w:rsidRDefault="00CF71D5" w:rsidP="00565C2A">
      <w:pPr>
        <w:pStyle w:val="BodyTextIndent3"/>
        <w:numPr>
          <w:ilvl w:val="1"/>
          <w:numId w:val="2"/>
        </w:numPr>
        <w:spacing w:after="120"/>
        <w:rPr>
          <w:szCs w:val="24"/>
        </w:rPr>
      </w:pPr>
      <w:r>
        <w:t>Saskaņā ar Līguma nosacījumiem</w:t>
      </w:r>
      <w:r w:rsidR="00A1188F" w:rsidRPr="00495D9D">
        <w:t xml:space="preserve"> </w:t>
      </w:r>
      <w:r>
        <w:t>pretendents</w:t>
      </w:r>
      <w:r w:rsidRPr="00495D9D">
        <w:t xml:space="preserve"> </w:t>
      </w:r>
      <w:r w:rsidR="00A1188F" w:rsidRPr="00495D9D">
        <w:t xml:space="preserve">samaksā Sabiedrībai garantijas prēmiju par </w:t>
      </w:r>
      <w:r w:rsidR="00A1188F" w:rsidRPr="000C6B59">
        <w:t xml:space="preserve">katru aizdevumu portfelī iekļauto </w:t>
      </w:r>
      <w:r w:rsidR="00642064">
        <w:t>jaun</w:t>
      </w:r>
      <w:r w:rsidR="00DA0A23">
        <w:t>o</w:t>
      </w:r>
      <w:r w:rsidR="00642064">
        <w:t xml:space="preserve"> </w:t>
      </w:r>
      <w:r w:rsidR="00A1188F" w:rsidRPr="000C6B59">
        <w:t>finanšu pakalpojumu</w:t>
      </w:r>
      <w:r>
        <w:t xml:space="preserve"> vai tā darbības termiņa pagarinājumu, ja vienlaikus tiek pagarināts garantijas darbības termiņš</w:t>
      </w:r>
      <w:r w:rsidR="00A1188F" w:rsidRPr="000C6B59">
        <w:t>.</w:t>
      </w:r>
      <w:r w:rsidR="00191B0C">
        <w:t xml:space="preserve"> Saskaņā ar pretendenta </w:t>
      </w:r>
      <w:r w:rsidR="00254008">
        <w:t>pieteikumā</w:t>
      </w:r>
      <w:r w:rsidR="00191B0C">
        <w:t xml:space="preserve"> norādīto un Līguma nosacījumiem pretendents var </w:t>
      </w:r>
      <w:r w:rsidR="00191B0C" w:rsidRPr="00D8354F">
        <w:t xml:space="preserve">pieprasīt kompensēt </w:t>
      </w:r>
      <w:r w:rsidR="00191B0C">
        <w:t>garantijas prēmiju komersantam.</w:t>
      </w:r>
    </w:p>
    <w:p w14:paraId="779CE642" w14:textId="0E971214" w:rsidR="004C62AF" w:rsidRDefault="00A1188F" w:rsidP="00724F6B">
      <w:pPr>
        <w:pStyle w:val="BodyTextIndent3"/>
        <w:numPr>
          <w:ilvl w:val="1"/>
          <w:numId w:val="2"/>
        </w:numPr>
        <w:spacing w:after="120"/>
        <w:rPr>
          <w:szCs w:val="24"/>
        </w:rPr>
      </w:pPr>
      <w:r w:rsidRPr="00D672C8">
        <w:rPr>
          <w:szCs w:val="24"/>
        </w:rPr>
        <w:lastRenderedPageBreak/>
        <w:t xml:space="preserve">Iekļaujot atbilstošus finanšu pakalpojumus aizdevumu portfelī, </w:t>
      </w:r>
      <w:r w:rsidR="00CF71D5">
        <w:rPr>
          <w:szCs w:val="24"/>
        </w:rPr>
        <w:t>pretendents</w:t>
      </w:r>
      <w:r w:rsidR="00CF71D5" w:rsidRPr="00D672C8">
        <w:rPr>
          <w:szCs w:val="24"/>
        </w:rPr>
        <w:t xml:space="preserve"> </w:t>
      </w:r>
      <w:r w:rsidRPr="00D672C8">
        <w:rPr>
          <w:szCs w:val="24"/>
        </w:rPr>
        <w:t>ievēro MK noteikumu Nr.</w:t>
      </w:r>
      <w:r w:rsidR="00F758B4">
        <w:rPr>
          <w:szCs w:val="24"/>
        </w:rPr>
        <w:t>537</w:t>
      </w:r>
      <w:r w:rsidRPr="00D672C8">
        <w:rPr>
          <w:szCs w:val="24"/>
        </w:rPr>
        <w:t xml:space="preserve"> II un III nodaļas nosacījumus, kā arī</w:t>
      </w:r>
      <w:r w:rsidR="000C6B59" w:rsidRPr="00D672C8">
        <w:rPr>
          <w:szCs w:val="24"/>
        </w:rPr>
        <w:t xml:space="preserve"> nodrošina</w:t>
      </w:r>
      <w:r w:rsidRPr="00D672C8">
        <w:rPr>
          <w:szCs w:val="24"/>
        </w:rPr>
        <w:t>, ka:</w:t>
      </w:r>
    </w:p>
    <w:p w14:paraId="593A5E2C" w14:textId="549D449C" w:rsidR="004C62AF" w:rsidRDefault="00A1188F" w:rsidP="00724F6B">
      <w:pPr>
        <w:pStyle w:val="ListParagraph"/>
        <w:numPr>
          <w:ilvl w:val="2"/>
          <w:numId w:val="2"/>
        </w:numPr>
        <w:spacing w:after="120"/>
        <w:contextualSpacing w:val="0"/>
        <w:jc w:val="both"/>
      </w:pPr>
      <w:r w:rsidRPr="00D672C8">
        <w:t>vienas nozares koncentrācija aizdevumu portfelī nevar pārsniegt 30</w:t>
      </w:r>
      <w:r w:rsidR="00CF71D5">
        <w:t xml:space="preserve"> </w:t>
      </w:r>
      <w:r w:rsidRPr="00D672C8">
        <w:t xml:space="preserve">% no Līgumā paredzētās aizdevumu </w:t>
      </w:r>
      <w:r w:rsidR="001B5A17">
        <w:t>portfeļa</w:t>
      </w:r>
      <w:r w:rsidR="001B5A17" w:rsidRPr="00D672C8">
        <w:t xml:space="preserve"> </w:t>
      </w:r>
      <w:r w:rsidRPr="00D672C8">
        <w:t>summas;</w:t>
      </w:r>
    </w:p>
    <w:p w14:paraId="2F3BA2EA" w14:textId="41E7D125" w:rsidR="00A1188F" w:rsidRDefault="00A1188F" w:rsidP="00724F6B">
      <w:pPr>
        <w:pStyle w:val="ListParagraph"/>
        <w:numPr>
          <w:ilvl w:val="2"/>
          <w:numId w:val="2"/>
        </w:numPr>
        <w:spacing w:after="120"/>
        <w:contextualSpacing w:val="0"/>
        <w:jc w:val="both"/>
      </w:pPr>
      <w:r w:rsidRPr="00D672C8">
        <w:t xml:space="preserve">komersanta </w:t>
      </w:r>
      <w:r w:rsidR="001B5A17">
        <w:t xml:space="preserve">kredītu </w:t>
      </w:r>
      <w:r w:rsidRPr="00D672C8">
        <w:t xml:space="preserve">kvalitātes reitings nevar būt zemāks par “Maksātspēju varētu mazināt nelabvēlīgi apstākļi”  (Standard un </w:t>
      </w:r>
      <w:proofErr w:type="spellStart"/>
      <w:r w:rsidRPr="00D672C8">
        <w:t>Poor’s</w:t>
      </w:r>
      <w:proofErr w:type="spellEnd"/>
      <w:r w:rsidRPr="00D672C8">
        <w:t xml:space="preserve"> B-).</w:t>
      </w:r>
    </w:p>
    <w:p w14:paraId="1DE5B830" w14:textId="1DC4F293" w:rsidR="00E9756F" w:rsidRDefault="00116728" w:rsidP="00724F6B">
      <w:pPr>
        <w:pStyle w:val="BodyTextIndent3"/>
        <w:numPr>
          <w:ilvl w:val="1"/>
          <w:numId w:val="2"/>
        </w:numPr>
        <w:spacing w:after="120"/>
        <w:rPr>
          <w:szCs w:val="24"/>
        </w:rPr>
      </w:pPr>
      <w:r w:rsidRPr="00B10B1B">
        <w:rPr>
          <w:szCs w:val="24"/>
        </w:rPr>
        <w:t>Garant</w:t>
      </w:r>
      <w:r w:rsidR="00CA5452">
        <w:rPr>
          <w:szCs w:val="24"/>
        </w:rPr>
        <w:t xml:space="preserve">ija </w:t>
      </w:r>
      <w:r w:rsidR="00DA0A23">
        <w:rPr>
          <w:szCs w:val="24"/>
        </w:rPr>
        <w:t>sedz</w:t>
      </w:r>
      <w:r w:rsidR="0008382D">
        <w:rPr>
          <w:szCs w:val="24"/>
        </w:rPr>
        <w:t xml:space="preserve"> neatmaksāt</w:t>
      </w:r>
      <w:r w:rsidR="00CA5452">
        <w:rPr>
          <w:szCs w:val="24"/>
        </w:rPr>
        <w:t>o</w:t>
      </w:r>
      <w:r w:rsidR="0008382D">
        <w:rPr>
          <w:szCs w:val="24"/>
        </w:rPr>
        <w:t xml:space="preserve"> </w:t>
      </w:r>
      <w:r w:rsidR="00310290">
        <w:rPr>
          <w:szCs w:val="24"/>
        </w:rPr>
        <w:t xml:space="preserve">finanšu pakalpojuma </w:t>
      </w:r>
      <w:r w:rsidR="0008382D">
        <w:rPr>
          <w:szCs w:val="24"/>
        </w:rPr>
        <w:t>pamatsumm</w:t>
      </w:r>
      <w:r w:rsidR="00CA5452">
        <w:rPr>
          <w:szCs w:val="24"/>
        </w:rPr>
        <w:t>u</w:t>
      </w:r>
      <w:r w:rsidR="0008382D">
        <w:rPr>
          <w:szCs w:val="24"/>
        </w:rPr>
        <w:t xml:space="preserve"> par </w:t>
      </w:r>
      <w:r w:rsidR="00310290">
        <w:rPr>
          <w:szCs w:val="24"/>
        </w:rPr>
        <w:t xml:space="preserve">pretendenta </w:t>
      </w:r>
      <w:r w:rsidR="0008382D">
        <w:rPr>
          <w:szCs w:val="24"/>
        </w:rPr>
        <w:t>aizdevumu portfelī iekļautajiem finanšu pakalpojumiem</w:t>
      </w:r>
      <w:r w:rsidRPr="00B10B1B">
        <w:rPr>
          <w:szCs w:val="24"/>
        </w:rPr>
        <w:t xml:space="preserve">. </w:t>
      </w:r>
    </w:p>
    <w:p w14:paraId="10D7C05D" w14:textId="279AC09A" w:rsidR="002827EF" w:rsidRDefault="002827EF" w:rsidP="00724F6B">
      <w:pPr>
        <w:pStyle w:val="BodyTextIndent3"/>
        <w:numPr>
          <w:ilvl w:val="1"/>
          <w:numId w:val="2"/>
        </w:numPr>
        <w:spacing w:after="120"/>
        <w:rPr>
          <w:szCs w:val="24"/>
        </w:rPr>
      </w:pPr>
      <w:proofErr w:type="spellStart"/>
      <w:r>
        <w:rPr>
          <w:szCs w:val="24"/>
        </w:rPr>
        <w:t>Portfeļgarantiju</w:t>
      </w:r>
      <w:proofErr w:type="spellEnd"/>
      <w:r>
        <w:rPr>
          <w:szCs w:val="24"/>
        </w:rPr>
        <w:t xml:space="preserve"> programmas ieviešanā </w:t>
      </w:r>
      <w:r w:rsidR="00310290">
        <w:rPr>
          <w:szCs w:val="24"/>
        </w:rPr>
        <w:t xml:space="preserve">ir </w:t>
      </w:r>
      <w:r>
        <w:rPr>
          <w:szCs w:val="24"/>
        </w:rPr>
        <w:t xml:space="preserve">piemērojami </w:t>
      </w:r>
      <w:r w:rsidR="00310290">
        <w:rPr>
          <w:szCs w:val="24"/>
        </w:rPr>
        <w:t xml:space="preserve">šādi </w:t>
      </w:r>
      <w:r>
        <w:rPr>
          <w:szCs w:val="24"/>
        </w:rPr>
        <w:t>tiesību akti:</w:t>
      </w:r>
    </w:p>
    <w:p w14:paraId="3FFB68BB" w14:textId="76DBAD8E" w:rsidR="002827EF" w:rsidRDefault="002827EF" w:rsidP="00724F6B">
      <w:pPr>
        <w:pStyle w:val="BodyTextIndent3"/>
        <w:numPr>
          <w:ilvl w:val="2"/>
          <w:numId w:val="2"/>
        </w:numPr>
        <w:spacing w:after="120"/>
        <w:rPr>
          <w:szCs w:val="24"/>
        </w:rPr>
      </w:pPr>
      <w:r>
        <w:rPr>
          <w:szCs w:val="24"/>
        </w:rPr>
        <w:t xml:space="preserve">Komisijas regula </w:t>
      </w:r>
      <w:r w:rsidR="004643E2">
        <w:rPr>
          <w:szCs w:val="24"/>
        </w:rPr>
        <w:t>N</w:t>
      </w:r>
      <w:r>
        <w:rPr>
          <w:szCs w:val="24"/>
        </w:rPr>
        <w:t>r.1407/2013;</w:t>
      </w:r>
    </w:p>
    <w:p w14:paraId="2AEDA993" w14:textId="3D67304E" w:rsidR="002827EF" w:rsidRPr="00C24D1E" w:rsidRDefault="002827EF" w:rsidP="00724F6B">
      <w:pPr>
        <w:pStyle w:val="BodyTextIndent3"/>
        <w:numPr>
          <w:ilvl w:val="2"/>
          <w:numId w:val="2"/>
        </w:numPr>
        <w:spacing w:after="120"/>
        <w:rPr>
          <w:szCs w:val="24"/>
        </w:rPr>
      </w:pPr>
      <w:r w:rsidRPr="00C24D1E">
        <w:rPr>
          <w:szCs w:val="24"/>
        </w:rPr>
        <w:t>MK noteikumi</w:t>
      </w:r>
      <w:r>
        <w:rPr>
          <w:szCs w:val="24"/>
        </w:rPr>
        <w:t xml:space="preserve"> </w:t>
      </w:r>
      <w:r w:rsidR="00D53592">
        <w:rPr>
          <w:szCs w:val="24"/>
        </w:rPr>
        <w:t>Nr</w:t>
      </w:r>
      <w:r>
        <w:rPr>
          <w:szCs w:val="24"/>
        </w:rPr>
        <w:t>.</w:t>
      </w:r>
      <w:r w:rsidR="00F758B4">
        <w:rPr>
          <w:szCs w:val="24"/>
        </w:rPr>
        <w:t>537</w:t>
      </w:r>
      <w:r w:rsidRPr="00C24D1E">
        <w:rPr>
          <w:szCs w:val="24"/>
        </w:rPr>
        <w:t>;</w:t>
      </w:r>
    </w:p>
    <w:p w14:paraId="7A8F257F" w14:textId="22A0495F" w:rsidR="004C62AF" w:rsidRDefault="002827EF" w:rsidP="00724F6B">
      <w:pPr>
        <w:pStyle w:val="BodyTextIndent3"/>
        <w:numPr>
          <w:ilvl w:val="2"/>
          <w:numId w:val="2"/>
        </w:numPr>
        <w:spacing w:after="120"/>
        <w:rPr>
          <w:szCs w:val="24"/>
        </w:rPr>
      </w:pPr>
      <w:r w:rsidRPr="00C24D1E">
        <w:rPr>
          <w:szCs w:val="24"/>
        </w:rPr>
        <w:t xml:space="preserve">Komisijas 2014.gada 17.jūnija Regulas (ES) Nr.651/2014, ar ko noteiktas atbalsta kategorijas atzīst par saderīgām ar iekšējo tirgu, piemērojot Līguma 107. un 108. pantu (turpmāk – Komisijas regula Nr.651/2014) (Eiropas Savienības Oficiālais Vēstnesis, 2014.gada 26.jūnijs, Nr. L 187), 1.pielikumā noteiktā </w:t>
      </w:r>
      <w:proofErr w:type="spellStart"/>
      <w:r w:rsidRPr="00C24D1E">
        <w:rPr>
          <w:szCs w:val="24"/>
        </w:rPr>
        <w:t>mikrouzņēmumu</w:t>
      </w:r>
      <w:proofErr w:type="spellEnd"/>
      <w:r w:rsidRPr="00C24D1E">
        <w:rPr>
          <w:szCs w:val="24"/>
        </w:rPr>
        <w:t>, maz</w:t>
      </w:r>
      <w:r>
        <w:rPr>
          <w:szCs w:val="24"/>
        </w:rPr>
        <w:t>o un vidējo uzņēmumu definīcija</w:t>
      </w:r>
      <w:r w:rsidR="00D8354F">
        <w:rPr>
          <w:rStyle w:val="FootnoteReference"/>
          <w:szCs w:val="24"/>
        </w:rPr>
        <w:footnoteReference w:id="2"/>
      </w:r>
      <w:r>
        <w:rPr>
          <w:szCs w:val="24"/>
        </w:rPr>
        <w:t>;</w:t>
      </w:r>
    </w:p>
    <w:p w14:paraId="609E62B6" w14:textId="25C5CADF" w:rsidR="009A3549" w:rsidRPr="00427EA1" w:rsidRDefault="002827EF" w:rsidP="00724F6B">
      <w:pPr>
        <w:pStyle w:val="BodyTextIndent3"/>
        <w:numPr>
          <w:ilvl w:val="2"/>
          <w:numId w:val="2"/>
        </w:numPr>
        <w:spacing w:after="120"/>
        <w:rPr>
          <w:szCs w:val="24"/>
        </w:rPr>
      </w:pPr>
      <w:r w:rsidRPr="004C62AF">
        <w:t xml:space="preserve">Komisijas 2014.gada 11.septembra īstenošanas </w:t>
      </w:r>
      <w:r w:rsidR="004643E2">
        <w:t>R</w:t>
      </w:r>
      <w:r w:rsidRPr="004C62AF">
        <w:t xml:space="preserve">egula (ES) Nr.964/2014, kurā izklāstīti noteikumi par Eiropas Parlamenta un padomes </w:t>
      </w:r>
      <w:r w:rsidR="004643E2">
        <w:t>R</w:t>
      </w:r>
      <w:r w:rsidRPr="004C62AF">
        <w:t>egulas (ES) Nr.1303/2013 piemērošanu attiecībā uz standarta noteikumiem un nosacījumiem par finanšu instrumentiem (turpmāk – Regula Nr.964/2014)</w:t>
      </w:r>
      <w:r w:rsidR="004643E2">
        <w:t>,</w:t>
      </w:r>
      <w:r w:rsidRPr="004C62AF">
        <w:t xml:space="preserve"> ciktāl tā attiecas uz valsts atbalsta jautājumiem un programmas nosacījumiem.</w:t>
      </w:r>
    </w:p>
    <w:p w14:paraId="373DB769" w14:textId="594ED398" w:rsidR="003D042A" w:rsidRPr="00F9741B" w:rsidRDefault="003D042A" w:rsidP="00724F6B">
      <w:pPr>
        <w:pStyle w:val="BodyTextIndent3"/>
        <w:numPr>
          <w:ilvl w:val="0"/>
          <w:numId w:val="2"/>
        </w:numPr>
        <w:spacing w:after="120"/>
        <w:rPr>
          <w:b/>
          <w:szCs w:val="24"/>
        </w:rPr>
      </w:pPr>
      <w:r w:rsidRPr="00F9741B">
        <w:rPr>
          <w:b/>
          <w:szCs w:val="24"/>
        </w:rPr>
        <w:t>Pretendenti</w:t>
      </w:r>
    </w:p>
    <w:p w14:paraId="55B20212" w14:textId="55F021C5" w:rsidR="00E5669B" w:rsidRDefault="00020359" w:rsidP="00724F6B">
      <w:pPr>
        <w:numPr>
          <w:ilvl w:val="1"/>
          <w:numId w:val="2"/>
        </w:numPr>
        <w:spacing w:after="120"/>
        <w:ind w:right="-2"/>
        <w:jc w:val="both"/>
      </w:pPr>
      <w:r w:rsidRPr="00631A3B">
        <w:t>Atlasē var piedalīties</w:t>
      </w:r>
      <w:r w:rsidR="001676A1">
        <w:t xml:space="preserve"> </w:t>
      </w:r>
      <w:r w:rsidR="004643E2">
        <w:t xml:space="preserve">atlases </w:t>
      </w:r>
      <w:r w:rsidR="00607227">
        <w:t>noteikumu</w:t>
      </w:r>
      <w:r w:rsidR="00F758B4">
        <w:t xml:space="preserve"> </w:t>
      </w:r>
      <w:r w:rsidR="00F758B4">
        <w:fldChar w:fldCharType="begin"/>
      </w:r>
      <w:r w:rsidR="00F758B4">
        <w:instrText xml:space="preserve"> REF _Ref493594404 \r \h </w:instrText>
      </w:r>
      <w:r w:rsidR="00F758B4">
        <w:fldChar w:fldCharType="separate"/>
      </w:r>
      <w:r w:rsidR="00946EC0">
        <w:t>1.20</w:t>
      </w:r>
      <w:r w:rsidR="00F758B4">
        <w:fldChar w:fldCharType="end"/>
      </w:r>
      <w:r w:rsidR="00F758B4">
        <w:t xml:space="preserve">. </w:t>
      </w:r>
      <w:r w:rsidR="00607227">
        <w:t xml:space="preserve">punktā minētie </w:t>
      </w:r>
      <w:r w:rsidR="00631A3B" w:rsidRPr="00631A3B">
        <w:t>p</w:t>
      </w:r>
      <w:r w:rsidR="006640A7" w:rsidRPr="00631A3B">
        <w:t>retendent</w:t>
      </w:r>
      <w:r w:rsidR="00607227">
        <w:t>i.</w:t>
      </w:r>
      <w:r w:rsidR="001676A1">
        <w:t xml:space="preserve"> </w:t>
      </w:r>
    </w:p>
    <w:p w14:paraId="29065EF5" w14:textId="5DFE417F" w:rsidR="003D042A" w:rsidRPr="005B03D9" w:rsidRDefault="003D042A" w:rsidP="00724F6B">
      <w:pPr>
        <w:numPr>
          <w:ilvl w:val="1"/>
          <w:numId w:val="2"/>
        </w:numPr>
        <w:spacing w:after="120"/>
        <w:ind w:right="-2"/>
        <w:jc w:val="both"/>
      </w:pPr>
      <w:r w:rsidRPr="005B03D9">
        <w:t xml:space="preserve">Persona uzskatāma par </w:t>
      </w:r>
      <w:r w:rsidR="00237F1F">
        <w:t>p</w:t>
      </w:r>
      <w:r w:rsidRPr="005B03D9">
        <w:t xml:space="preserve">retendentu ar brīdi, kad </w:t>
      </w:r>
      <w:r w:rsidR="00C12F26" w:rsidRPr="005B03D9">
        <w:t>Sabiedrība</w:t>
      </w:r>
      <w:r w:rsidRPr="005B03D9">
        <w:t xml:space="preserve"> ir saņēmusi pretendenta pieteikumu</w:t>
      </w:r>
      <w:r w:rsidR="00020359" w:rsidRPr="005B03D9">
        <w:t xml:space="preserve"> dalībai atlasē</w:t>
      </w:r>
      <w:r w:rsidRPr="005B03D9">
        <w:t xml:space="preserve"> un tas ir reģistrēts nolikumā noteiktajā kārtībā.</w:t>
      </w:r>
    </w:p>
    <w:p w14:paraId="74759E7D" w14:textId="133356DD" w:rsidR="00F92B06" w:rsidRDefault="00F92B06" w:rsidP="00724F6B">
      <w:pPr>
        <w:numPr>
          <w:ilvl w:val="1"/>
          <w:numId w:val="2"/>
        </w:numPr>
        <w:spacing w:after="120"/>
        <w:ind w:right="-2"/>
        <w:jc w:val="both"/>
      </w:pPr>
      <w:r w:rsidRPr="005B03D9">
        <w:t>Pretendents drīkst iesniegt tikai vienu pieteikumu</w:t>
      </w:r>
      <w:r w:rsidR="00607227">
        <w:t>.</w:t>
      </w:r>
      <w:r w:rsidRPr="005B03D9">
        <w:t xml:space="preserve"> </w:t>
      </w:r>
    </w:p>
    <w:p w14:paraId="5F4E182B" w14:textId="051AA065" w:rsidR="00AE007A" w:rsidRPr="00AE007A" w:rsidRDefault="00AE007A" w:rsidP="00724F6B">
      <w:pPr>
        <w:numPr>
          <w:ilvl w:val="1"/>
          <w:numId w:val="2"/>
        </w:numPr>
        <w:spacing w:after="120"/>
        <w:ind w:right="-2"/>
        <w:jc w:val="both"/>
      </w:pPr>
      <w:r w:rsidRPr="00AE007A">
        <w:t xml:space="preserve">Ja </w:t>
      </w:r>
      <w:r w:rsidR="00B04609">
        <w:t>pieteikumu</w:t>
      </w:r>
      <w:r w:rsidRPr="00AE007A">
        <w:t xml:space="preserve"> iesniedz </w:t>
      </w:r>
      <w:r w:rsidR="007C44EC">
        <w:t>personu apvienība</w:t>
      </w:r>
      <w:r>
        <w:t xml:space="preserve">, </w:t>
      </w:r>
      <w:r w:rsidRPr="00AE007A">
        <w:t xml:space="preserve">tai ir jāiesniedz visu iesaistīto pušu parakstīts apliecinājums par kopīgu dalību </w:t>
      </w:r>
      <w:r>
        <w:t>atlasē</w:t>
      </w:r>
      <w:r w:rsidRPr="00AE007A">
        <w:t>. Šādā gadījumā ir norādāma persona, kura</w:t>
      </w:r>
      <w:r w:rsidR="00E5669B">
        <w:t xml:space="preserve"> pārstāv</w:t>
      </w:r>
      <w:r w:rsidRPr="00AE007A">
        <w:t xml:space="preserve"> </w:t>
      </w:r>
      <w:r w:rsidR="007C44EC">
        <w:t>personu apvienību</w:t>
      </w:r>
      <w:r w:rsidRPr="00AE007A">
        <w:t xml:space="preserve">. </w:t>
      </w:r>
    </w:p>
    <w:p w14:paraId="52022614" w14:textId="2C4A3C44" w:rsidR="003D042A" w:rsidRPr="005B03D9" w:rsidRDefault="00020359" w:rsidP="00724F6B">
      <w:pPr>
        <w:numPr>
          <w:ilvl w:val="1"/>
          <w:numId w:val="2"/>
        </w:numPr>
        <w:spacing w:after="120"/>
        <w:ind w:right="-2"/>
        <w:jc w:val="both"/>
      </w:pPr>
      <w:r w:rsidRPr="005B03D9">
        <w:t>Sabiedrībai</w:t>
      </w:r>
      <w:r w:rsidR="003D042A" w:rsidRPr="005B03D9">
        <w:t xml:space="preserve"> ir tiesības publiskot informāciju par </w:t>
      </w:r>
      <w:r w:rsidRPr="005B03D9">
        <w:t>atlases</w:t>
      </w:r>
      <w:r w:rsidR="003D042A" w:rsidRPr="005B03D9">
        <w:t xml:space="preserve"> izsludināšanu plašsaziņas līdzekļos, kā arī informēt par to </w:t>
      </w:r>
      <w:r w:rsidR="008A64F4" w:rsidRPr="005B03D9">
        <w:t xml:space="preserve">potenciālos </w:t>
      </w:r>
      <w:r w:rsidR="00237F1F">
        <w:t>p</w:t>
      </w:r>
      <w:r w:rsidR="008A64F4" w:rsidRPr="005B03D9">
        <w:t>retendentus</w:t>
      </w:r>
      <w:r w:rsidR="0036523B" w:rsidRPr="005B03D9">
        <w:t xml:space="preserve"> </w:t>
      </w:r>
      <w:r w:rsidR="00237F1F">
        <w:t>un</w:t>
      </w:r>
      <w:r w:rsidR="0036523B" w:rsidRPr="005B03D9">
        <w:t xml:space="preserve"> </w:t>
      </w:r>
      <w:r w:rsidR="000675A3" w:rsidRPr="005B03D9">
        <w:t xml:space="preserve">informējot </w:t>
      </w:r>
      <w:r w:rsidR="0036523B" w:rsidRPr="005B03D9">
        <w:t>Latvijas Komercbanku asociācij</w:t>
      </w:r>
      <w:r w:rsidR="000675A3" w:rsidRPr="005B03D9">
        <w:t>u</w:t>
      </w:r>
      <w:r w:rsidR="00642064">
        <w:t xml:space="preserve"> un Latvijas Līzinga devēju asociāciju</w:t>
      </w:r>
      <w:r w:rsidR="003D042A" w:rsidRPr="005B03D9">
        <w:t>.</w:t>
      </w:r>
    </w:p>
    <w:p w14:paraId="377B9BCB" w14:textId="77777777" w:rsidR="003D042A" w:rsidRPr="009A3549" w:rsidRDefault="008A64F4" w:rsidP="00724F6B">
      <w:pPr>
        <w:numPr>
          <w:ilvl w:val="1"/>
          <w:numId w:val="2"/>
        </w:numPr>
        <w:spacing w:after="120"/>
        <w:ind w:right="-2"/>
        <w:jc w:val="both"/>
      </w:pPr>
      <w:r w:rsidRPr="005B03D9">
        <w:t>Sabiedrībai</w:t>
      </w:r>
      <w:r w:rsidR="003D042A" w:rsidRPr="005B03D9">
        <w:t xml:space="preserve"> ir tiesības publiskot informāciju par </w:t>
      </w:r>
      <w:r w:rsidRPr="005B03D9">
        <w:t>atlases</w:t>
      </w:r>
      <w:r w:rsidR="003D042A" w:rsidRPr="005B03D9">
        <w:t xml:space="preserve"> </w:t>
      </w:r>
      <w:r w:rsidRPr="005B03D9">
        <w:t>rezultātiem</w:t>
      </w:r>
      <w:r w:rsidR="003D042A" w:rsidRPr="005B03D9">
        <w:t>.</w:t>
      </w:r>
    </w:p>
    <w:p w14:paraId="1C147C03" w14:textId="1B2A22E5" w:rsidR="003D042A" w:rsidRPr="00565C2A" w:rsidRDefault="006640A7" w:rsidP="00724F6B">
      <w:pPr>
        <w:numPr>
          <w:ilvl w:val="1"/>
          <w:numId w:val="2"/>
        </w:numPr>
        <w:spacing w:after="120"/>
        <w:ind w:right="-2"/>
        <w:jc w:val="both"/>
        <w:rPr>
          <w:b/>
        </w:rPr>
      </w:pPr>
      <w:r w:rsidRPr="005B03D9">
        <w:t xml:space="preserve">Iesniedzot pieteikumu, </w:t>
      </w:r>
      <w:r w:rsidR="00237F1F">
        <w:t>p</w:t>
      </w:r>
      <w:r w:rsidRPr="005B03D9">
        <w:t xml:space="preserve">retendents apliecina, ka tas visā </w:t>
      </w:r>
      <w:proofErr w:type="spellStart"/>
      <w:r w:rsidRPr="005B03D9">
        <w:t>Portfeļgarantiju</w:t>
      </w:r>
      <w:proofErr w:type="spellEnd"/>
      <w:r w:rsidRPr="005B03D9">
        <w:t xml:space="preserve"> programmas īstenošanas laikā ievēros</w:t>
      </w:r>
      <w:r w:rsidR="0071688E" w:rsidRPr="005B03D9">
        <w:t xml:space="preserve"> MK noteikumu Nr. </w:t>
      </w:r>
      <w:r w:rsidR="007C44EC">
        <w:t xml:space="preserve">537 </w:t>
      </w:r>
      <w:r w:rsidR="0071688E" w:rsidRPr="005B03D9">
        <w:t xml:space="preserve">un </w:t>
      </w:r>
      <w:r w:rsidR="0071688E" w:rsidRPr="00631A3B">
        <w:t>Līguma nosacījumus</w:t>
      </w:r>
      <w:r w:rsidR="00083136" w:rsidRPr="00631A3B">
        <w:t xml:space="preserve">, kā arī </w:t>
      </w:r>
      <w:r w:rsidR="00710C9E">
        <w:t>pretendenta sagatavotajā</w:t>
      </w:r>
      <w:r w:rsidR="00710C9E" w:rsidRPr="00631A3B">
        <w:t xml:space="preserve"> </w:t>
      </w:r>
      <w:r w:rsidR="00083136" w:rsidRPr="00631A3B">
        <w:t>p</w:t>
      </w:r>
      <w:r w:rsidR="00B04609">
        <w:t>ieteikumā</w:t>
      </w:r>
      <w:r w:rsidR="00631A3B" w:rsidRPr="00631A3B">
        <w:t xml:space="preserve"> norādīto</w:t>
      </w:r>
      <w:r w:rsidR="0071688E" w:rsidRPr="00631A3B">
        <w:t>.</w:t>
      </w:r>
    </w:p>
    <w:p w14:paraId="58F93FA7" w14:textId="77777777" w:rsidR="004C2227" w:rsidRPr="009A3549" w:rsidRDefault="004C2227" w:rsidP="004C2227">
      <w:pPr>
        <w:spacing w:after="120"/>
        <w:ind w:left="720" w:right="-2"/>
        <w:jc w:val="both"/>
        <w:rPr>
          <w:b/>
        </w:rPr>
      </w:pPr>
    </w:p>
    <w:p w14:paraId="58E63A95" w14:textId="2069E33D" w:rsidR="008C114A" w:rsidRPr="00F9741B" w:rsidRDefault="003D042A" w:rsidP="00724F6B">
      <w:pPr>
        <w:pStyle w:val="BodyTextIndent3"/>
        <w:numPr>
          <w:ilvl w:val="0"/>
          <w:numId w:val="2"/>
        </w:numPr>
        <w:spacing w:after="120"/>
        <w:rPr>
          <w:b/>
          <w:szCs w:val="24"/>
        </w:rPr>
      </w:pPr>
      <w:r w:rsidRPr="00F9741B">
        <w:rPr>
          <w:b/>
          <w:szCs w:val="24"/>
        </w:rPr>
        <w:t>Pieteikuma dokumenti</w:t>
      </w:r>
    </w:p>
    <w:p w14:paraId="13624883" w14:textId="755805FB" w:rsidR="003D042A" w:rsidRPr="002B0DEF" w:rsidRDefault="003D042A" w:rsidP="00724F6B">
      <w:pPr>
        <w:numPr>
          <w:ilvl w:val="1"/>
          <w:numId w:val="2"/>
        </w:numPr>
        <w:tabs>
          <w:tab w:val="num" w:pos="540"/>
        </w:tabs>
        <w:spacing w:after="120"/>
        <w:ind w:right="-2"/>
        <w:jc w:val="both"/>
      </w:pPr>
      <w:r w:rsidRPr="00F9741B">
        <w:t xml:space="preserve">Dalībai </w:t>
      </w:r>
      <w:r w:rsidR="008A64F4" w:rsidRPr="00F9741B">
        <w:t>atlasē</w:t>
      </w:r>
      <w:r w:rsidRPr="00F9741B">
        <w:t xml:space="preserve"> </w:t>
      </w:r>
      <w:r w:rsidR="00710C9E">
        <w:t>p</w:t>
      </w:r>
      <w:r w:rsidRPr="00F9741B">
        <w:t xml:space="preserve">retendents iesniedz šādus </w:t>
      </w:r>
      <w:r w:rsidRPr="002B0DEF">
        <w:t>dokumentus:</w:t>
      </w:r>
    </w:p>
    <w:p w14:paraId="3C849006" w14:textId="068AB3A1" w:rsidR="008A64F4" w:rsidRPr="002B0DEF" w:rsidRDefault="008A1234" w:rsidP="00724F6B">
      <w:pPr>
        <w:pStyle w:val="ListParagraph"/>
        <w:numPr>
          <w:ilvl w:val="2"/>
          <w:numId w:val="2"/>
        </w:numPr>
        <w:spacing w:after="120"/>
        <w:ind w:right="-2"/>
        <w:contextualSpacing w:val="0"/>
        <w:jc w:val="both"/>
      </w:pPr>
      <w:r w:rsidRPr="002B0DEF">
        <w:lastRenderedPageBreak/>
        <w:t>Aizpildītu pieteikuma formu (pielikums</w:t>
      </w:r>
      <w:r w:rsidR="000675A3" w:rsidRPr="002B0DEF">
        <w:t xml:space="preserve"> nr.</w:t>
      </w:r>
      <w:r w:rsidR="00441DC7" w:rsidRPr="002B0DEF">
        <w:t>1</w:t>
      </w:r>
      <w:r w:rsidRPr="002B0DEF">
        <w:t>).</w:t>
      </w:r>
      <w:r w:rsidR="00F92B06" w:rsidRPr="002B0DEF">
        <w:t xml:space="preserve"> Pretendents aizpildītājā formā norāda, vai pieteikums satur informācijas sadaļ</w:t>
      </w:r>
      <w:r w:rsidR="00642064">
        <w:t>as</w:t>
      </w:r>
      <w:r w:rsidR="00F92B06" w:rsidRPr="002B0DEF">
        <w:t>, kas ir konfidenciāl</w:t>
      </w:r>
      <w:r w:rsidR="00642064">
        <w:t>as</w:t>
      </w:r>
      <w:r w:rsidR="00F92B06" w:rsidRPr="002B0DEF">
        <w:t>.</w:t>
      </w:r>
    </w:p>
    <w:p w14:paraId="44960621" w14:textId="2C3B862C" w:rsidR="000675A3" w:rsidRPr="002B0DEF" w:rsidRDefault="008A1234" w:rsidP="00724F6B">
      <w:pPr>
        <w:pStyle w:val="ListParagraph"/>
        <w:numPr>
          <w:ilvl w:val="2"/>
          <w:numId w:val="2"/>
        </w:numPr>
        <w:spacing w:after="120"/>
        <w:ind w:right="-2"/>
        <w:contextualSpacing w:val="0"/>
        <w:jc w:val="both"/>
      </w:pPr>
      <w:r w:rsidRPr="002B0DEF">
        <w:t xml:space="preserve">Kreditēšanas </w:t>
      </w:r>
      <w:r w:rsidR="007373E6" w:rsidRPr="002B0DEF">
        <w:t>stratēģiju</w:t>
      </w:r>
      <w:r w:rsidR="00E5669B" w:rsidRPr="002B0DEF">
        <w:t xml:space="preserve"> (pielikums nr.</w:t>
      </w:r>
      <w:r w:rsidR="00F758B4" w:rsidRPr="002B0DEF">
        <w:t>3</w:t>
      </w:r>
      <w:r w:rsidR="00E5669B" w:rsidRPr="002B0DEF">
        <w:t>)</w:t>
      </w:r>
      <w:r w:rsidR="000675A3" w:rsidRPr="002B0DEF">
        <w:t>;</w:t>
      </w:r>
    </w:p>
    <w:p w14:paraId="4A75F28F" w14:textId="77777777" w:rsidR="008A1234" w:rsidRPr="00D672C8" w:rsidRDefault="000675A3" w:rsidP="00724F6B">
      <w:pPr>
        <w:pStyle w:val="ListParagraph"/>
        <w:numPr>
          <w:ilvl w:val="2"/>
          <w:numId w:val="2"/>
        </w:numPr>
        <w:spacing w:after="120"/>
        <w:ind w:right="-2"/>
        <w:contextualSpacing w:val="0"/>
        <w:jc w:val="both"/>
      </w:pPr>
      <w:r w:rsidRPr="00D672C8">
        <w:t>Citus dokumentus</w:t>
      </w:r>
      <w:r w:rsidR="008A1234" w:rsidRPr="00D672C8">
        <w:t>.</w:t>
      </w:r>
    </w:p>
    <w:p w14:paraId="29E7383C" w14:textId="785AEB98" w:rsidR="003D042A" w:rsidRPr="00F9741B" w:rsidRDefault="003D042A" w:rsidP="00724F6B">
      <w:pPr>
        <w:numPr>
          <w:ilvl w:val="1"/>
          <w:numId w:val="2"/>
        </w:numPr>
        <w:spacing w:after="120"/>
        <w:ind w:right="-2"/>
        <w:jc w:val="both"/>
      </w:pPr>
      <w:r w:rsidRPr="00F9741B">
        <w:rPr>
          <w:lang w:eastAsia="ar-SA"/>
        </w:rPr>
        <w:t>P</w:t>
      </w:r>
      <w:r w:rsidRPr="00F9741B">
        <w:t>ieteikuma dokumentiem</w:t>
      </w:r>
      <w:r w:rsidR="00710C9E">
        <w:t xml:space="preserve"> ir</w:t>
      </w:r>
      <w:r w:rsidRPr="00F9741B">
        <w:t xml:space="preserve"> jābūt skaidri salasāmiem. Ja Komisijai </w:t>
      </w:r>
      <w:r w:rsidR="00710C9E">
        <w:t xml:space="preserve">ir </w:t>
      </w:r>
      <w:r w:rsidRPr="00F9741B">
        <w:t>nepieciešams pārliecināties par dokumenta oriģināla juridisko spēku vai dokumenta atvasinājuma (kopijas) pareizību, Komisija dokumentu salīdzināšanai var pieprasīt, lai tiek uzrādīts dokumenta oriģināls, kurš atšķirības gadījumā būs noteicošais dokuments. Ja pastāvēs jebkāda veida pretrunas starp skaitlisko vērtību apzīmējumiem ar vārdiem un skaitļiem, noteicošais būs apzīmējums ar vārdiem.</w:t>
      </w:r>
    </w:p>
    <w:p w14:paraId="266518EF" w14:textId="5770DD72" w:rsidR="00AB45E4" w:rsidRPr="00962758" w:rsidRDefault="00950D32" w:rsidP="00724F6B">
      <w:pPr>
        <w:numPr>
          <w:ilvl w:val="1"/>
          <w:numId w:val="2"/>
        </w:numPr>
        <w:spacing w:after="120"/>
        <w:ind w:right="-2"/>
        <w:jc w:val="both"/>
        <w:rPr>
          <w:b/>
          <w:i/>
        </w:rPr>
      </w:pPr>
      <w:r w:rsidRPr="00950D32">
        <w:t xml:space="preserve">Pieteikums dalībai </w:t>
      </w:r>
      <w:proofErr w:type="spellStart"/>
      <w:r w:rsidRPr="00950D32">
        <w:t>Portfeļgarantiju</w:t>
      </w:r>
      <w:proofErr w:type="spellEnd"/>
      <w:r w:rsidRPr="00950D32">
        <w:t xml:space="preserve"> programmas kredītiestāžu atlasei (pielikums nr.1) ir jāsagatavo latviešu valodā. Pārējie Pretendenta pieteikuma dokumenti pēc Pretendenta izvēles var tikt iesniegti latviešu vai angļu valodā. Dokumentiem citā svešvalodā, izņemot angļu valodu, jāpievieno pretendenta apliecināts dokumenta tulkojums latviešu vai angļu valodā</w:t>
      </w:r>
      <w:r w:rsidR="003D042A" w:rsidRPr="00F9741B">
        <w:t>.</w:t>
      </w:r>
    </w:p>
    <w:p w14:paraId="0F7A5913" w14:textId="44EE82E8" w:rsidR="00623C16" w:rsidRPr="00C7084D" w:rsidRDefault="00623C16" w:rsidP="00724F6B">
      <w:pPr>
        <w:numPr>
          <w:ilvl w:val="1"/>
          <w:numId w:val="2"/>
        </w:numPr>
        <w:spacing w:after="120"/>
        <w:ind w:right="-2"/>
        <w:jc w:val="both"/>
        <w:rPr>
          <w:b/>
          <w:i/>
        </w:rPr>
      </w:pPr>
      <w:r w:rsidRPr="00E90D37">
        <w:t>Pie</w:t>
      </w:r>
      <w:r>
        <w:t>teik</w:t>
      </w:r>
      <w:r w:rsidRPr="00E90D37">
        <w:t xml:space="preserve">uma dokumentus paraksta persona ar </w:t>
      </w:r>
      <w:r w:rsidR="00710C9E">
        <w:t>p</w:t>
      </w:r>
      <w:r w:rsidRPr="00E90D37">
        <w:t>retendenta pārstāvības tiesībām vai speciāli pilnvarots pārstāvis.</w:t>
      </w:r>
    </w:p>
    <w:p w14:paraId="0D20DCFE" w14:textId="77777777" w:rsidR="001F34A8" w:rsidRPr="009A3549" w:rsidRDefault="001F34A8" w:rsidP="00C7084D">
      <w:pPr>
        <w:spacing w:after="120"/>
        <w:ind w:left="720" w:right="-2"/>
        <w:jc w:val="both"/>
        <w:rPr>
          <w:b/>
          <w:i/>
        </w:rPr>
      </w:pPr>
    </w:p>
    <w:p w14:paraId="63B7F5FB" w14:textId="193F547C" w:rsidR="00F110A7" w:rsidRPr="00F9741B" w:rsidRDefault="002912D9" w:rsidP="00724F6B">
      <w:pPr>
        <w:numPr>
          <w:ilvl w:val="0"/>
          <w:numId w:val="2"/>
        </w:numPr>
        <w:spacing w:after="120"/>
        <w:jc w:val="both"/>
        <w:rPr>
          <w:b/>
          <w:bCs/>
        </w:rPr>
      </w:pPr>
      <w:r w:rsidRPr="00F9741B">
        <w:rPr>
          <w:b/>
          <w:bCs/>
        </w:rPr>
        <w:t>Pieteikumu iesniegšana</w:t>
      </w:r>
    </w:p>
    <w:p w14:paraId="23649459" w14:textId="24315714" w:rsidR="002912D9" w:rsidRPr="00F9741B" w:rsidRDefault="002912D9" w:rsidP="00724F6B">
      <w:pPr>
        <w:pStyle w:val="BodyTextIndent3"/>
        <w:numPr>
          <w:ilvl w:val="1"/>
          <w:numId w:val="2"/>
        </w:numPr>
        <w:spacing w:after="120"/>
        <w:rPr>
          <w:szCs w:val="24"/>
        </w:rPr>
      </w:pPr>
      <w:r w:rsidRPr="00F9741B">
        <w:rPr>
          <w:szCs w:val="24"/>
        </w:rPr>
        <w:t xml:space="preserve">Pieteikumi dalībai </w:t>
      </w:r>
      <w:r w:rsidR="008A64F4" w:rsidRPr="00F9741B">
        <w:rPr>
          <w:szCs w:val="24"/>
        </w:rPr>
        <w:t>atlasē</w:t>
      </w:r>
      <w:r w:rsidRPr="00F9741B">
        <w:rPr>
          <w:szCs w:val="24"/>
        </w:rPr>
        <w:t xml:space="preserve"> jāiesniedz</w:t>
      </w:r>
      <w:r w:rsidR="00C12F26" w:rsidRPr="00F9741B">
        <w:rPr>
          <w:szCs w:val="24"/>
        </w:rPr>
        <w:t xml:space="preserve"> akciju sabiedrībā „Attīstības finanšu institūcija Altum”, </w:t>
      </w:r>
      <w:r w:rsidRPr="00F9741B">
        <w:rPr>
          <w:szCs w:val="24"/>
        </w:rPr>
        <w:t>Doma laukumā 4, Rīgā, līdz</w:t>
      </w:r>
      <w:r w:rsidR="00E5669B">
        <w:rPr>
          <w:szCs w:val="24"/>
        </w:rPr>
        <w:t xml:space="preserve"> atlases </w:t>
      </w:r>
      <w:r w:rsidR="00747865">
        <w:rPr>
          <w:szCs w:val="24"/>
        </w:rPr>
        <w:t>noteikumu</w:t>
      </w:r>
      <w:r w:rsidR="00747865" w:rsidRPr="00F9741B">
        <w:rPr>
          <w:szCs w:val="24"/>
        </w:rPr>
        <w:t xml:space="preserve"> </w:t>
      </w:r>
      <w:r w:rsidR="00083136">
        <w:rPr>
          <w:szCs w:val="24"/>
        </w:rPr>
        <w:fldChar w:fldCharType="begin"/>
      </w:r>
      <w:r w:rsidR="00083136">
        <w:rPr>
          <w:szCs w:val="24"/>
        </w:rPr>
        <w:instrText xml:space="preserve"> REF _Ref491092716 \r \h </w:instrText>
      </w:r>
      <w:r w:rsidR="00083136">
        <w:rPr>
          <w:szCs w:val="24"/>
        </w:rPr>
      </w:r>
      <w:r w:rsidR="00083136">
        <w:rPr>
          <w:szCs w:val="24"/>
        </w:rPr>
        <w:fldChar w:fldCharType="separate"/>
      </w:r>
      <w:r w:rsidR="00946EC0">
        <w:rPr>
          <w:szCs w:val="24"/>
        </w:rPr>
        <w:t>1.24</w:t>
      </w:r>
      <w:r w:rsidR="00083136">
        <w:rPr>
          <w:szCs w:val="24"/>
        </w:rPr>
        <w:fldChar w:fldCharType="end"/>
      </w:r>
      <w:r w:rsidR="000675A3">
        <w:rPr>
          <w:szCs w:val="24"/>
        </w:rPr>
        <w:t>.</w:t>
      </w:r>
      <w:r w:rsidRPr="00F9741B">
        <w:rPr>
          <w:szCs w:val="24"/>
        </w:rPr>
        <w:t xml:space="preserve">punktā noteiktajam termiņam. </w:t>
      </w:r>
    </w:p>
    <w:p w14:paraId="649BDEF7" w14:textId="77777777" w:rsidR="002912D9" w:rsidRPr="00F9741B" w:rsidRDefault="002912D9" w:rsidP="00724F6B">
      <w:pPr>
        <w:numPr>
          <w:ilvl w:val="1"/>
          <w:numId w:val="2"/>
        </w:numPr>
        <w:spacing w:after="120"/>
        <w:ind w:right="-2"/>
        <w:jc w:val="both"/>
        <w:rPr>
          <w:b/>
          <w:i/>
        </w:rPr>
      </w:pPr>
      <w:r w:rsidRPr="00F9741B">
        <w:t xml:space="preserve">Pieteikuma dokumenti ir jāiesniedz slēgtā aploksnē, uz kuras ir izdarītas šādas atzīmes: </w:t>
      </w:r>
    </w:p>
    <w:p w14:paraId="4AC59241" w14:textId="1D99AA80" w:rsidR="002912D9" w:rsidRPr="00F9741B" w:rsidRDefault="002912D9" w:rsidP="00724F6B">
      <w:pPr>
        <w:numPr>
          <w:ilvl w:val="0"/>
          <w:numId w:val="3"/>
        </w:numPr>
        <w:tabs>
          <w:tab w:val="left" w:pos="720"/>
        </w:tabs>
        <w:spacing w:after="120"/>
        <w:ind w:right="-2"/>
        <w:jc w:val="both"/>
        <w:rPr>
          <w:b/>
          <w:i/>
        </w:rPr>
      </w:pPr>
      <w:r w:rsidRPr="00F9741B">
        <w:t>iesniedzēja - pretendenta nosaukums</w:t>
      </w:r>
      <w:r w:rsidR="00747865">
        <w:t>;</w:t>
      </w:r>
      <w:r w:rsidRPr="00F9741B">
        <w:t xml:space="preserve"> </w:t>
      </w:r>
    </w:p>
    <w:p w14:paraId="1888B05E" w14:textId="2B2EA494" w:rsidR="002912D9" w:rsidRPr="00F9741B" w:rsidRDefault="002912D9" w:rsidP="00724F6B">
      <w:pPr>
        <w:numPr>
          <w:ilvl w:val="0"/>
          <w:numId w:val="3"/>
        </w:numPr>
        <w:tabs>
          <w:tab w:val="left" w:pos="720"/>
        </w:tabs>
        <w:spacing w:after="120"/>
        <w:ind w:right="-2"/>
        <w:jc w:val="both"/>
        <w:rPr>
          <w:b/>
          <w:i/>
        </w:rPr>
      </w:pPr>
      <w:r w:rsidRPr="00F9741B">
        <w:t>adrese, kontakttālrunis, e-pasta adrese</w:t>
      </w:r>
      <w:r w:rsidR="00747865">
        <w:t>;</w:t>
      </w:r>
    </w:p>
    <w:p w14:paraId="4EE2B713" w14:textId="376C7E75" w:rsidR="002912D9" w:rsidRPr="00F9741B" w:rsidRDefault="008A64F4" w:rsidP="00724F6B">
      <w:pPr>
        <w:numPr>
          <w:ilvl w:val="0"/>
          <w:numId w:val="3"/>
        </w:numPr>
        <w:tabs>
          <w:tab w:val="left" w:pos="720"/>
        </w:tabs>
        <w:spacing w:after="120"/>
        <w:ind w:left="1434" w:right="-2" w:hanging="357"/>
        <w:jc w:val="both"/>
        <w:rPr>
          <w:b/>
          <w:i/>
        </w:rPr>
      </w:pPr>
      <w:r w:rsidRPr="00F9741B">
        <w:t>atlases</w:t>
      </w:r>
      <w:r w:rsidR="002912D9" w:rsidRPr="00F9741B">
        <w:t xml:space="preserve"> nosaukums, vieta un laiks</w:t>
      </w:r>
      <w:r w:rsidR="00747865">
        <w:t>;</w:t>
      </w:r>
      <w:r w:rsidR="002912D9" w:rsidRPr="00F9741B">
        <w:t xml:space="preserve"> </w:t>
      </w:r>
    </w:p>
    <w:p w14:paraId="6A964531" w14:textId="77777777" w:rsidR="002912D9" w:rsidRPr="00F9741B" w:rsidRDefault="002912D9" w:rsidP="00724F6B">
      <w:pPr>
        <w:pStyle w:val="BodyTextIndent3"/>
        <w:numPr>
          <w:ilvl w:val="0"/>
          <w:numId w:val="3"/>
        </w:numPr>
        <w:spacing w:after="120"/>
        <w:ind w:left="1434" w:hanging="357"/>
        <w:rPr>
          <w:szCs w:val="24"/>
        </w:rPr>
      </w:pPr>
      <w:r w:rsidRPr="00F9741B">
        <w:rPr>
          <w:szCs w:val="24"/>
        </w:rPr>
        <w:t>norāde “Neatvērt pirms pieteikumu atvēršanas sanāksmes”.</w:t>
      </w:r>
    </w:p>
    <w:p w14:paraId="21E95B38" w14:textId="22E135E8" w:rsidR="002912D9" w:rsidRPr="00F9741B" w:rsidRDefault="002912D9" w:rsidP="00724F6B">
      <w:pPr>
        <w:numPr>
          <w:ilvl w:val="1"/>
          <w:numId w:val="2"/>
        </w:numPr>
        <w:spacing w:after="120"/>
        <w:ind w:right="-2"/>
        <w:jc w:val="both"/>
        <w:rPr>
          <w:b/>
          <w:i/>
        </w:rPr>
      </w:pPr>
      <w:bookmarkStart w:id="8" w:name="_Ref491092757"/>
      <w:r w:rsidRPr="00F9741B">
        <w:t>Pretendents ir tiesīgs grozīt vai atsaukt iesniegto pie</w:t>
      </w:r>
      <w:r w:rsidR="00B04609">
        <w:t>teikumu</w:t>
      </w:r>
      <w:r w:rsidRPr="00F9741B">
        <w:t>, rakstiski par to paziņojot līdz p</w:t>
      </w:r>
      <w:r w:rsidR="00B04609">
        <w:t>ieteikuma</w:t>
      </w:r>
      <w:r w:rsidRPr="00F9741B">
        <w:t xml:space="preserve"> iesniegšanas termiņa beigām.</w:t>
      </w:r>
      <w:bookmarkEnd w:id="8"/>
    </w:p>
    <w:p w14:paraId="105D34D6" w14:textId="583C2D49" w:rsidR="002912D9" w:rsidRPr="00495D9D" w:rsidRDefault="002912D9" w:rsidP="00724F6B">
      <w:pPr>
        <w:pStyle w:val="BodyTextIndent3"/>
        <w:numPr>
          <w:ilvl w:val="1"/>
          <w:numId w:val="2"/>
        </w:numPr>
        <w:spacing w:after="120"/>
        <w:ind w:right="-2"/>
        <w:rPr>
          <w:szCs w:val="24"/>
        </w:rPr>
      </w:pPr>
      <w:r w:rsidRPr="00F9741B">
        <w:t xml:space="preserve">Visas izmaksas, kas saistītas ar pieteikumu </w:t>
      </w:r>
      <w:r w:rsidRPr="00495D9D">
        <w:t>sagatavošanu</w:t>
      </w:r>
      <w:r w:rsidR="00E5669B">
        <w:t xml:space="preserve"> </w:t>
      </w:r>
      <w:r w:rsidR="00747865">
        <w:rPr>
          <w:szCs w:val="24"/>
        </w:rPr>
        <w:t>p</w:t>
      </w:r>
      <w:r w:rsidR="00083136" w:rsidRPr="00495D9D">
        <w:rPr>
          <w:szCs w:val="24"/>
        </w:rPr>
        <w:t>retende</w:t>
      </w:r>
      <w:r w:rsidR="00083136" w:rsidRPr="00F5657C">
        <w:rPr>
          <w:szCs w:val="24"/>
        </w:rPr>
        <w:t xml:space="preserve">nts </w:t>
      </w:r>
      <w:r w:rsidR="00083136" w:rsidRPr="00495D9D">
        <w:rPr>
          <w:szCs w:val="24"/>
        </w:rPr>
        <w:t xml:space="preserve">sedz no saviem </w:t>
      </w:r>
      <w:r w:rsidR="007C44EC">
        <w:rPr>
          <w:szCs w:val="24"/>
        </w:rPr>
        <w:t>līdzekļiem</w:t>
      </w:r>
      <w:r w:rsidR="00083136" w:rsidRPr="00495D9D">
        <w:rPr>
          <w:szCs w:val="24"/>
        </w:rPr>
        <w:t xml:space="preserve">. </w:t>
      </w:r>
      <w:r w:rsidRPr="00495D9D">
        <w:t xml:space="preserve"> </w:t>
      </w:r>
    </w:p>
    <w:p w14:paraId="62C09FC6" w14:textId="054143B3" w:rsidR="002912D9" w:rsidRPr="00F9741B" w:rsidRDefault="008A64F4" w:rsidP="00724F6B">
      <w:pPr>
        <w:numPr>
          <w:ilvl w:val="1"/>
          <w:numId w:val="2"/>
        </w:numPr>
        <w:spacing w:after="120"/>
        <w:jc w:val="both"/>
        <w:rPr>
          <w:b/>
          <w:bCs/>
        </w:rPr>
      </w:pPr>
      <w:r w:rsidRPr="00F9741B">
        <w:t>P</w:t>
      </w:r>
      <w:r w:rsidR="002912D9" w:rsidRPr="00F9741B">
        <w:t>retendentu iesniegtie dokumenti netiek atdoti atpakaļ</w:t>
      </w:r>
      <w:r w:rsidRPr="00F9741B">
        <w:t xml:space="preserve">, izņemot </w:t>
      </w:r>
      <w:r w:rsidR="00083136">
        <w:fldChar w:fldCharType="begin"/>
      </w:r>
      <w:r w:rsidR="00083136">
        <w:instrText xml:space="preserve"> REF _Ref491092757 \r \h </w:instrText>
      </w:r>
      <w:r w:rsidR="00083136">
        <w:fldChar w:fldCharType="separate"/>
      </w:r>
      <w:r w:rsidR="00946EC0">
        <w:t>6.3</w:t>
      </w:r>
      <w:r w:rsidR="00083136">
        <w:fldChar w:fldCharType="end"/>
      </w:r>
      <w:r w:rsidRPr="00F9741B">
        <w:t>.punktā noteikto gadījumu</w:t>
      </w:r>
      <w:r w:rsidR="002912D9" w:rsidRPr="00F9741B">
        <w:t>.</w:t>
      </w:r>
    </w:p>
    <w:p w14:paraId="12BE6B50" w14:textId="22033050" w:rsidR="00760DE5" w:rsidRPr="00F9741B" w:rsidRDefault="00760DE5" w:rsidP="00724F6B">
      <w:pPr>
        <w:numPr>
          <w:ilvl w:val="1"/>
          <w:numId w:val="2"/>
        </w:numPr>
        <w:spacing w:after="120"/>
        <w:jc w:val="both"/>
        <w:rPr>
          <w:b/>
          <w:bCs/>
        </w:rPr>
      </w:pPr>
      <w:r w:rsidRPr="00F9741B">
        <w:t>Visi pēc</w:t>
      </w:r>
      <w:r w:rsidR="00747865">
        <w:t xml:space="preserve"> atlases noteikumu</w:t>
      </w:r>
      <w:r w:rsidRPr="00F9741B">
        <w:t xml:space="preserve"> </w:t>
      </w:r>
      <w:r w:rsidR="00083136">
        <w:fldChar w:fldCharType="begin"/>
      </w:r>
      <w:r w:rsidR="00083136">
        <w:instrText xml:space="preserve"> REF _Ref491092716 \r \h </w:instrText>
      </w:r>
      <w:r w:rsidR="00083136">
        <w:fldChar w:fldCharType="separate"/>
      </w:r>
      <w:r w:rsidR="00946EC0">
        <w:t>1.24</w:t>
      </w:r>
      <w:r w:rsidR="00083136">
        <w:fldChar w:fldCharType="end"/>
      </w:r>
      <w:r w:rsidRPr="00F9741B">
        <w:t xml:space="preserve">.punktā noteiktā termiņa saņemtie pieteikumi netiks pieņemti un tiks nodoti atpakaļ </w:t>
      </w:r>
      <w:r w:rsidR="00747865">
        <w:t>p</w:t>
      </w:r>
      <w:r w:rsidR="008A1234">
        <w:t>retendentam</w:t>
      </w:r>
      <w:r w:rsidR="00083136">
        <w:t>.</w:t>
      </w:r>
    </w:p>
    <w:p w14:paraId="2E27A39F" w14:textId="2888B58E" w:rsidR="008C114A" w:rsidRPr="00F9741B" w:rsidRDefault="007373E6" w:rsidP="00724F6B">
      <w:pPr>
        <w:pStyle w:val="BodyTextIndent3"/>
        <w:numPr>
          <w:ilvl w:val="0"/>
          <w:numId w:val="2"/>
        </w:numPr>
        <w:tabs>
          <w:tab w:val="num" w:pos="720"/>
        </w:tabs>
        <w:spacing w:after="120"/>
        <w:rPr>
          <w:b/>
          <w:bCs/>
          <w:szCs w:val="24"/>
        </w:rPr>
      </w:pPr>
      <w:r>
        <w:rPr>
          <w:b/>
          <w:bCs/>
          <w:szCs w:val="24"/>
        </w:rPr>
        <w:t>Atlases</w:t>
      </w:r>
      <w:r w:rsidRPr="00F9741B">
        <w:rPr>
          <w:b/>
          <w:bCs/>
          <w:szCs w:val="24"/>
        </w:rPr>
        <w:t xml:space="preserve"> </w:t>
      </w:r>
      <w:r w:rsidR="00760DE5" w:rsidRPr="00F9741B">
        <w:rPr>
          <w:b/>
          <w:bCs/>
          <w:szCs w:val="24"/>
        </w:rPr>
        <w:t>norise</w:t>
      </w:r>
    </w:p>
    <w:p w14:paraId="41BCD025" w14:textId="2831A800" w:rsidR="00E97EA8" w:rsidRPr="00CB3F37" w:rsidRDefault="008A64F4" w:rsidP="00724F6B">
      <w:pPr>
        <w:numPr>
          <w:ilvl w:val="1"/>
          <w:numId w:val="2"/>
        </w:numPr>
        <w:spacing w:after="120"/>
        <w:ind w:right="-2"/>
        <w:jc w:val="both"/>
      </w:pPr>
      <w:r w:rsidRPr="00F9741B">
        <w:t>Atlasei</w:t>
      </w:r>
      <w:r w:rsidR="005E3AF7" w:rsidRPr="00F9741B">
        <w:t xml:space="preserve"> iesniegtos p</w:t>
      </w:r>
      <w:r w:rsidR="00E97EA8" w:rsidRPr="00F9741B">
        <w:t xml:space="preserve">ieteikumus atver to iesniegšanas secībā. Pēc pieteikuma atvēršanas </w:t>
      </w:r>
      <w:r w:rsidR="00E97EA8" w:rsidRPr="00495D9D">
        <w:t xml:space="preserve">Komisijas priekšsēdētājs nosauc </w:t>
      </w:r>
      <w:r w:rsidR="00191B0C">
        <w:t>p</w:t>
      </w:r>
      <w:r w:rsidR="00E97EA8" w:rsidRPr="00495D9D">
        <w:t>retendentu, pieteikuma iesniegšanas datumu un laiku</w:t>
      </w:r>
      <w:r w:rsidR="00E97EA8" w:rsidRPr="00D672C8">
        <w:t xml:space="preserve">, kā arī pretendenta piedāvāto </w:t>
      </w:r>
      <w:r w:rsidR="00191B0C">
        <w:t>ierobežoto garantijas likmi (</w:t>
      </w:r>
      <w:r w:rsidR="00E5669B">
        <w:t>CAP</w:t>
      </w:r>
      <w:r w:rsidR="00191B0C">
        <w:t>)</w:t>
      </w:r>
      <w:r w:rsidR="00D672C8">
        <w:t xml:space="preserve">, garantijas likmi, </w:t>
      </w:r>
      <w:r w:rsidR="00191B0C">
        <w:t xml:space="preserve">garantijas </w:t>
      </w:r>
      <w:r w:rsidR="00D672C8">
        <w:t>prē</w:t>
      </w:r>
      <w:r w:rsidR="00495D9D" w:rsidRPr="00D672C8">
        <w:t>mijas maksāšanas avotu</w:t>
      </w:r>
      <w:r w:rsidR="00495D9D" w:rsidRPr="00CB3F37">
        <w:t xml:space="preserve"> </w:t>
      </w:r>
      <w:r w:rsidR="00E97EA8" w:rsidRPr="00CB3F37">
        <w:t>un visi Komisijas locekļi parakstās uz pieteikuma.</w:t>
      </w:r>
    </w:p>
    <w:p w14:paraId="0389FCED" w14:textId="1406C119" w:rsidR="00D2130A" w:rsidRPr="00CB3F37" w:rsidRDefault="004026CD" w:rsidP="00724F6B">
      <w:pPr>
        <w:numPr>
          <w:ilvl w:val="1"/>
          <w:numId w:val="2"/>
        </w:numPr>
        <w:tabs>
          <w:tab w:val="clear" w:pos="720"/>
        </w:tabs>
        <w:spacing w:after="120"/>
        <w:ind w:right="-2"/>
        <w:jc w:val="both"/>
      </w:pPr>
      <w:r w:rsidRPr="00CB3F37">
        <w:t xml:space="preserve">Pretendentu </w:t>
      </w:r>
      <w:r w:rsidR="00AB45E4" w:rsidRPr="00CB3F37">
        <w:t>pieteikumu vērtēšanu atbilstoši</w:t>
      </w:r>
      <w:r w:rsidRPr="00CB3F37">
        <w:t xml:space="preserve"> </w:t>
      </w:r>
      <w:r w:rsidR="00AB45E4" w:rsidRPr="00CB3F37">
        <w:t xml:space="preserve">atlases </w:t>
      </w:r>
      <w:r w:rsidR="00191B0C">
        <w:t>noteikumu</w:t>
      </w:r>
      <w:r w:rsidR="00191B0C" w:rsidRPr="00CB3F37">
        <w:t xml:space="preserve"> </w:t>
      </w:r>
      <w:r w:rsidRPr="00CB3F37">
        <w:t>prasībām Komisija veic slēgtā sēd</w:t>
      </w:r>
      <w:r w:rsidR="00451858" w:rsidRPr="00CB3F37">
        <w:t>ē</w:t>
      </w:r>
      <w:r w:rsidRPr="00CB3F37">
        <w:t xml:space="preserve">.  </w:t>
      </w:r>
    </w:p>
    <w:p w14:paraId="5FB8CFA3" w14:textId="466B6665" w:rsidR="004C62AF" w:rsidRPr="00CB3F37" w:rsidRDefault="00D2130A" w:rsidP="00724F6B">
      <w:pPr>
        <w:numPr>
          <w:ilvl w:val="1"/>
          <w:numId w:val="2"/>
        </w:numPr>
        <w:tabs>
          <w:tab w:val="clear" w:pos="720"/>
        </w:tabs>
        <w:spacing w:after="120"/>
        <w:ind w:right="-2"/>
        <w:jc w:val="both"/>
      </w:pPr>
      <w:r w:rsidRPr="00CB3F37">
        <w:lastRenderedPageBreak/>
        <w:t xml:space="preserve">Komisija ir tiesīga pārbaudīt </w:t>
      </w:r>
      <w:r w:rsidR="00B44FA2">
        <w:t>p</w:t>
      </w:r>
      <w:r w:rsidRPr="00CB3F37">
        <w:t xml:space="preserve">retendentu sniegtās ziņas. </w:t>
      </w:r>
      <w:r w:rsidR="00B44FA2">
        <w:t>Ar pretendentu netiek slēgts Līgums</w:t>
      </w:r>
      <w:r w:rsidRPr="00CB3F37">
        <w:t>, ja tiek atklāts, ka pretendents ir sniedzis nepatiesas ziņas.</w:t>
      </w:r>
      <w:bookmarkStart w:id="9" w:name="_Ref321230822"/>
      <w:r w:rsidR="00C668DD" w:rsidRPr="00CB3F37">
        <w:t xml:space="preserve">  </w:t>
      </w:r>
    </w:p>
    <w:p w14:paraId="50027B41" w14:textId="1C12250A" w:rsidR="00C668DD" w:rsidRPr="00CB3F37" w:rsidRDefault="00B44FA2" w:rsidP="00724F6B">
      <w:pPr>
        <w:numPr>
          <w:ilvl w:val="1"/>
          <w:numId w:val="2"/>
        </w:numPr>
        <w:spacing w:after="120"/>
        <w:ind w:right="-2"/>
        <w:jc w:val="both"/>
      </w:pPr>
      <w:bookmarkStart w:id="10" w:name="_Ref491192522"/>
      <w:r>
        <w:t>P</w:t>
      </w:r>
      <w:r w:rsidR="00C668DD" w:rsidRPr="00CB3F37">
        <w:t xml:space="preserve">retendentu iesniegto </w:t>
      </w:r>
      <w:r w:rsidR="00B04609">
        <w:t>pieteikumu</w:t>
      </w:r>
      <w:r w:rsidR="00C668DD" w:rsidRPr="00CB3F37">
        <w:t xml:space="preserve"> vērtēšana </w:t>
      </w:r>
      <w:r>
        <w:t xml:space="preserve">sākotnēji </w:t>
      </w:r>
      <w:r w:rsidR="00C668DD" w:rsidRPr="00CB3F37">
        <w:t>tiks veikt</w:t>
      </w:r>
      <w:r w:rsidR="00AB45E4" w:rsidRPr="00CB3F37">
        <w:t>a</w:t>
      </w:r>
      <w:r w:rsidR="00C668DD" w:rsidRPr="00CB3F37">
        <w:t xml:space="preserve"> atbilstoši </w:t>
      </w:r>
      <w:r>
        <w:t xml:space="preserve">atlases noteikumos </w:t>
      </w:r>
      <w:r w:rsidR="004C62AF" w:rsidRPr="00CB3F37">
        <w:t xml:space="preserve">norādītajiem </w:t>
      </w:r>
      <w:r w:rsidR="00D32523" w:rsidRPr="00CB3F37">
        <w:t xml:space="preserve">atbilstības </w:t>
      </w:r>
      <w:r w:rsidR="00C668DD" w:rsidRPr="00CB3F37">
        <w:t>kritērijiem</w:t>
      </w:r>
      <w:r>
        <w:t xml:space="preserve"> (</w:t>
      </w:r>
      <w:r w:rsidR="007C17C6">
        <w:t>pielikums nr.2)</w:t>
      </w:r>
      <w:r w:rsidR="00F754C5" w:rsidRPr="00CB3F37">
        <w:t>.</w:t>
      </w:r>
      <w:bookmarkEnd w:id="10"/>
    </w:p>
    <w:p w14:paraId="0A3F3AB1" w14:textId="77C40ED9" w:rsidR="008F3A23" w:rsidRPr="00CB3F37" w:rsidRDefault="00DE14A0" w:rsidP="00724F6B">
      <w:pPr>
        <w:numPr>
          <w:ilvl w:val="1"/>
          <w:numId w:val="2"/>
        </w:numPr>
        <w:spacing w:after="120"/>
        <w:ind w:right="-2"/>
        <w:jc w:val="both"/>
      </w:pPr>
      <w:r w:rsidRPr="00CB3F37">
        <w:t xml:space="preserve">Ja </w:t>
      </w:r>
      <w:r w:rsidR="007C17C6">
        <w:t>p</w:t>
      </w:r>
      <w:r w:rsidRPr="00CB3F37">
        <w:t xml:space="preserve">retendentu iesniegtais </w:t>
      </w:r>
      <w:r w:rsidR="00B04609">
        <w:t>pieteikums</w:t>
      </w:r>
      <w:r w:rsidRPr="00CB3F37">
        <w:t xml:space="preserve"> atbilst visiem </w:t>
      </w:r>
      <w:r w:rsidR="007C17C6">
        <w:t>atlases noteikumu</w:t>
      </w:r>
      <w:r w:rsidR="004C62AF" w:rsidRPr="00CB3F37">
        <w:t xml:space="preserve"> </w:t>
      </w:r>
      <w:r w:rsidRPr="00CB3F37">
        <w:t>norādītājiem atbilstības kritērijiem</w:t>
      </w:r>
      <w:r w:rsidR="007C17C6">
        <w:t xml:space="preserve"> (pielikums nr.2)</w:t>
      </w:r>
      <w:r w:rsidRPr="00CB3F37">
        <w:t xml:space="preserve">, </w:t>
      </w:r>
      <w:r w:rsidR="007C17C6">
        <w:t>turpmāk</w:t>
      </w:r>
      <w:r w:rsidR="007C17C6" w:rsidRPr="00CB3F37">
        <w:t xml:space="preserve"> </w:t>
      </w:r>
      <w:r w:rsidRPr="00CB3F37">
        <w:t xml:space="preserve">tiek vērtēta atbilstība </w:t>
      </w:r>
      <w:r w:rsidR="007C17C6">
        <w:t xml:space="preserve">atlases noteikumos </w:t>
      </w:r>
      <w:r w:rsidR="004C62AF" w:rsidRPr="00CB3F37">
        <w:t xml:space="preserve">norādītajiem </w:t>
      </w:r>
      <w:r w:rsidRPr="00CB3F37">
        <w:t>kvalitātes kritērijiem</w:t>
      </w:r>
      <w:r w:rsidR="007C17C6">
        <w:t xml:space="preserve"> (pielikums nr.2)</w:t>
      </w:r>
      <w:r w:rsidRPr="00CB3F37">
        <w:t>.</w:t>
      </w:r>
    </w:p>
    <w:p w14:paraId="36BB561E" w14:textId="71F40424" w:rsidR="004C62AF" w:rsidRPr="00565C2A" w:rsidRDefault="0054180D" w:rsidP="00724F6B">
      <w:pPr>
        <w:pStyle w:val="BodyTextIndent3"/>
        <w:numPr>
          <w:ilvl w:val="1"/>
          <w:numId w:val="2"/>
        </w:numPr>
        <w:spacing w:after="120"/>
        <w:rPr>
          <w:szCs w:val="24"/>
        </w:rPr>
      </w:pPr>
      <w:r w:rsidRPr="00565C2A">
        <w:rPr>
          <w:szCs w:val="24"/>
        </w:rPr>
        <w:t>Atlases rezultātā Sabiedrība sadala pieejamo finansējumu un slēdz Līgumu ar pretendentiem, kuri ir saņēmuši augstāko vērtējumu kvalitātes kritērijos</w:t>
      </w:r>
      <w:r>
        <w:rPr>
          <w:szCs w:val="24"/>
        </w:rPr>
        <w:t>, atbilstoši pielikumā Nr.2 “</w:t>
      </w:r>
      <w:proofErr w:type="spellStart"/>
      <w:r w:rsidRPr="0058659A">
        <w:rPr>
          <w:szCs w:val="24"/>
        </w:rPr>
        <w:t>Portfeļgarantiju</w:t>
      </w:r>
      <w:proofErr w:type="spellEnd"/>
      <w:r w:rsidRPr="0058659A">
        <w:rPr>
          <w:szCs w:val="24"/>
        </w:rPr>
        <w:t xml:space="preserve"> programmas kredītiestāžu atlases kritēriji</w:t>
      </w:r>
      <w:r>
        <w:rPr>
          <w:szCs w:val="24"/>
        </w:rPr>
        <w:t>” noteiktajai kārtībai</w:t>
      </w:r>
      <w:r w:rsidR="008462AB" w:rsidRPr="00565C2A">
        <w:rPr>
          <w:szCs w:val="24"/>
        </w:rPr>
        <w:t xml:space="preserve">. </w:t>
      </w:r>
    </w:p>
    <w:p w14:paraId="4BE3911E" w14:textId="48B2004D" w:rsidR="004C62AF" w:rsidRDefault="004C62AF" w:rsidP="00724F6B">
      <w:pPr>
        <w:pStyle w:val="BodyTextIndent3"/>
        <w:numPr>
          <w:ilvl w:val="1"/>
          <w:numId w:val="2"/>
        </w:numPr>
        <w:spacing w:after="120"/>
        <w:rPr>
          <w:szCs w:val="24"/>
        </w:rPr>
      </w:pPr>
      <w:bookmarkStart w:id="11" w:name="_Hlk17906549"/>
      <w:r>
        <w:rPr>
          <w:szCs w:val="24"/>
        </w:rPr>
        <w:t>Finansējumu starp kredītiestādēm, nepārsniedzot pretendenta pieteikumā norādīto summu</w:t>
      </w:r>
      <w:r w:rsidR="009F208D">
        <w:rPr>
          <w:szCs w:val="24"/>
        </w:rPr>
        <w:t>,</w:t>
      </w:r>
      <w:r w:rsidR="009F208D" w:rsidRPr="009F208D">
        <w:rPr>
          <w:szCs w:val="24"/>
        </w:rPr>
        <w:t xml:space="preserve"> </w:t>
      </w:r>
      <w:r w:rsidR="009F208D">
        <w:rPr>
          <w:szCs w:val="24"/>
        </w:rPr>
        <w:t>sadala šādi</w:t>
      </w:r>
      <w:r>
        <w:rPr>
          <w:szCs w:val="24"/>
        </w:rPr>
        <w:t>:</w:t>
      </w:r>
    </w:p>
    <w:tbl>
      <w:tblPr>
        <w:tblStyle w:val="TableGrid"/>
        <w:tblW w:w="0" w:type="auto"/>
        <w:tblInd w:w="720" w:type="dxa"/>
        <w:tblLook w:val="04A0" w:firstRow="1" w:lastRow="0" w:firstColumn="1" w:lastColumn="0" w:noHBand="0" w:noVBand="1"/>
      </w:tblPr>
      <w:tblGrid>
        <w:gridCol w:w="1652"/>
        <w:gridCol w:w="1676"/>
        <w:gridCol w:w="1684"/>
        <w:gridCol w:w="1665"/>
        <w:gridCol w:w="1665"/>
      </w:tblGrid>
      <w:tr w:rsidR="00BF5D20" w14:paraId="65546E38" w14:textId="77777777" w:rsidTr="00993677">
        <w:tc>
          <w:tcPr>
            <w:tcW w:w="1652" w:type="dxa"/>
          </w:tcPr>
          <w:p w14:paraId="3FEE780C" w14:textId="45DD71B8" w:rsidR="00BF5D20" w:rsidRPr="00BF5D20" w:rsidRDefault="00BF5D20" w:rsidP="00BF5D20">
            <w:pPr>
              <w:pStyle w:val="BodyTextIndent3"/>
              <w:spacing w:after="120"/>
              <w:ind w:firstLine="0"/>
              <w:rPr>
                <w:sz w:val="18"/>
                <w:szCs w:val="18"/>
              </w:rPr>
            </w:pPr>
            <w:r w:rsidRPr="00BF5D20">
              <w:rPr>
                <w:sz w:val="18"/>
                <w:szCs w:val="18"/>
              </w:rPr>
              <w:t>Vērtējums punktu kritērijos</w:t>
            </w:r>
          </w:p>
        </w:tc>
        <w:tc>
          <w:tcPr>
            <w:tcW w:w="1676" w:type="dxa"/>
          </w:tcPr>
          <w:p w14:paraId="3A803642" w14:textId="6DD2E62A" w:rsidR="00BF5D20" w:rsidRPr="00BF5D20" w:rsidRDefault="00BF5D20" w:rsidP="00BF5D20">
            <w:pPr>
              <w:pStyle w:val="BodyTextIndent3"/>
              <w:spacing w:after="120"/>
              <w:ind w:firstLine="0"/>
              <w:rPr>
                <w:sz w:val="18"/>
                <w:szCs w:val="18"/>
              </w:rPr>
            </w:pPr>
            <w:r w:rsidRPr="00BF5D20">
              <w:rPr>
                <w:sz w:val="18"/>
                <w:szCs w:val="18"/>
              </w:rPr>
              <w:t>Procenti no finansējuma</w:t>
            </w:r>
          </w:p>
        </w:tc>
        <w:tc>
          <w:tcPr>
            <w:tcW w:w="1684" w:type="dxa"/>
          </w:tcPr>
          <w:p w14:paraId="63AE49E8" w14:textId="03122C79" w:rsidR="00BF5D20" w:rsidRPr="00BF5D20" w:rsidRDefault="00BF5D20" w:rsidP="00BF5D20">
            <w:pPr>
              <w:pStyle w:val="BodyTextIndent3"/>
              <w:spacing w:after="120"/>
              <w:ind w:firstLine="0"/>
              <w:rPr>
                <w:sz w:val="18"/>
                <w:szCs w:val="18"/>
              </w:rPr>
            </w:pPr>
            <w:r w:rsidRPr="00BF5D20">
              <w:rPr>
                <w:sz w:val="18"/>
                <w:szCs w:val="18"/>
              </w:rPr>
              <w:t>Maksimālais CAP apjoms</w:t>
            </w:r>
          </w:p>
        </w:tc>
        <w:tc>
          <w:tcPr>
            <w:tcW w:w="1665" w:type="dxa"/>
          </w:tcPr>
          <w:p w14:paraId="30563182" w14:textId="2D1A73B8" w:rsidR="00BF5D20" w:rsidRPr="00BF5D20" w:rsidRDefault="00BF5D20" w:rsidP="00BF5D20">
            <w:pPr>
              <w:pStyle w:val="BodyTextIndent3"/>
              <w:spacing w:after="120"/>
              <w:ind w:firstLine="0"/>
              <w:rPr>
                <w:sz w:val="18"/>
                <w:szCs w:val="18"/>
              </w:rPr>
            </w:pPr>
            <w:r w:rsidRPr="00BF5D20">
              <w:rPr>
                <w:sz w:val="18"/>
                <w:szCs w:val="18"/>
              </w:rPr>
              <w:t>Minimālais aizdevumu portfelis (ja 80% garantija, 17.5% CAP)</w:t>
            </w:r>
          </w:p>
        </w:tc>
        <w:tc>
          <w:tcPr>
            <w:tcW w:w="1665" w:type="dxa"/>
          </w:tcPr>
          <w:p w14:paraId="75B6151A" w14:textId="55371871" w:rsidR="00BF5D20" w:rsidRPr="00BF5D20" w:rsidRDefault="00BF5D20" w:rsidP="00BF5D20">
            <w:pPr>
              <w:pStyle w:val="BodyTextIndent3"/>
              <w:spacing w:after="120"/>
              <w:ind w:firstLine="0"/>
              <w:rPr>
                <w:sz w:val="18"/>
                <w:szCs w:val="18"/>
              </w:rPr>
            </w:pPr>
            <w:r w:rsidRPr="00BF5D20">
              <w:rPr>
                <w:sz w:val="18"/>
                <w:szCs w:val="18"/>
              </w:rPr>
              <w:t>Minimālais garantētais portfelis (ja 80% garantija, 17.5% CAP)</w:t>
            </w:r>
          </w:p>
        </w:tc>
      </w:tr>
      <w:tr w:rsidR="00BF5D20" w14:paraId="06B29F04" w14:textId="77777777" w:rsidTr="00993677">
        <w:tc>
          <w:tcPr>
            <w:tcW w:w="1652" w:type="dxa"/>
          </w:tcPr>
          <w:p w14:paraId="73154A35" w14:textId="42654D30" w:rsidR="00BF5D20" w:rsidRPr="00BF5D20" w:rsidRDefault="00BF5D20" w:rsidP="00BF5D20">
            <w:pPr>
              <w:pStyle w:val="BodyTextIndent3"/>
              <w:spacing w:after="120"/>
              <w:ind w:firstLine="0"/>
              <w:rPr>
                <w:sz w:val="18"/>
                <w:szCs w:val="18"/>
              </w:rPr>
            </w:pPr>
            <w:r w:rsidRPr="00BF5D20">
              <w:rPr>
                <w:sz w:val="18"/>
                <w:szCs w:val="18"/>
              </w:rPr>
              <w:t>1.vieta</w:t>
            </w:r>
          </w:p>
        </w:tc>
        <w:tc>
          <w:tcPr>
            <w:tcW w:w="1676" w:type="dxa"/>
          </w:tcPr>
          <w:p w14:paraId="12CCDABA" w14:textId="552283DD" w:rsidR="00BF5D20" w:rsidRPr="00BF5D20" w:rsidRDefault="0086337A" w:rsidP="00BF5D20">
            <w:pPr>
              <w:pStyle w:val="BodyTextIndent3"/>
              <w:spacing w:after="120"/>
              <w:ind w:firstLine="0"/>
              <w:rPr>
                <w:sz w:val="18"/>
                <w:szCs w:val="18"/>
              </w:rPr>
            </w:pPr>
            <w:r>
              <w:rPr>
                <w:sz w:val="18"/>
                <w:szCs w:val="18"/>
              </w:rPr>
              <w:t>58</w:t>
            </w:r>
            <w:r w:rsidR="00BF5D20" w:rsidRPr="00BF5D20">
              <w:rPr>
                <w:sz w:val="18"/>
                <w:szCs w:val="18"/>
              </w:rPr>
              <w:t>%</w:t>
            </w:r>
          </w:p>
        </w:tc>
        <w:tc>
          <w:tcPr>
            <w:tcW w:w="1684" w:type="dxa"/>
          </w:tcPr>
          <w:p w14:paraId="57EFD4A1" w14:textId="5F2ABBDD" w:rsidR="00BF5D20" w:rsidRPr="00955546" w:rsidRDefault="00EC0BA6" w:rsidP="00BF5D20">
            <w:pPr>
              <w:pStyle w:val="BodyTextIndent3"/>
              <w:spacing w:after="120"/>
              <w:ind w:firstLine="0"/>
              <w:rPr>
                <w:sz w:val="18"/>
                <w:szCs w:val="18"/>
              </w:rPr>
            </w:pPr>
            <w:r w:rsidRPr="00955546">
              <w:rPr>
                <w:sz w:val="18"/>
                <w:szCs w:val="18"/>
              </w:rPr>
              <w:t>1</w:t>
            </w:r>
            <w:r w:rsidR="00DA50CE" w:rsidRPr="00955546">
              <w:rPr>
                <w:sz w:val="18"/>
                <w:szCs w:val="18"/>
              </w:rPr>
              <w:t> </w:t>
            </w:r>
            <w:r w:rsidR="00611AD4" w:rsidRPr="00955546">
              <w:rPr>
                <w:sz w:val="18"/>
                <w:szCs w:val="18"/>
              </w:rPr>
              <w:t>2</w:t>
            </w:r>
            <w:r w:rsidR="00DA50CE" w:rsidRPr="00955546">
              <w:rPr>
                <w:sz w:val="18"/>
                <w:szCs w:val="18"/>
              </w:rPr>
              <w:t>25 000</w:t>
            </w:r>
          </w:p>
        </w:tc>
        <w:tc>
          <w:tcPr>
            <w:tcW w:w="1665" w:type="dxa"/>
          </w:tcPr>
          <w:p w14:paraId="26BD1422" w14:textId="7CD82DD3" w:rsidR="00BF5D20" w:rsidRPr="00BF5D20" w:rsidRDefault="00611AD4" w:rsidP="00BF5D20">
            <w:pPr>
              <w:pStyle w:val="BodyTextIndent3"/>
              <w:spacing w:after="120"/>
              <w:ind w:firstLine="0"/>
              <w:rPr>
                <w:sz w:val="18"/>
                <w:szCs w:val="18"/>
              </w:rPr>
            </w:pPr>
            <w:r>
              <w:rPr>
                <w:sz w:val="18"/>
                <w:szCs w:val="18"/>
              </w:rPr>
              <w:t>8 75</w:t>
            </w:r>
            <w:r w:rsidR="00993677">
              <w:rPr>
                <w:sz w:val="18"/>
                <w:szCs w:val="18"/>
              </w:rPr>
              <w:t>0</w:t>
            </w:r>
            <w:r w:rsidR="00BF5D20">
              <w:rPr>
                <w:sz w:val="18"/>
                <w:szCs w:val="18"/>
              </w:rPr>
              <w:t xml:space="preserve"> 000</w:t>
            </w:r>
          </w:p>
        </w:tc>
        <w:tc>
          <w:tcPr>
            <w:tcW w:w="1665" w:type="dxa"/>
          </w:tcPr>
          <w:p w14:paraId="3EBA288E" w14:textId="66F7EA58" w:rsidR="00BF5D20" w:rsidRPr="00BF5D20" w:rsidRDefault="00611AD4" w:rsidP="00BF5D20">
            <w:pPr>
              <w:pStyle w:val="BodyTextIndent3"/>
              <w:spacing w:after="120"/>
              <w:ind w:firstLine="0"/>
              <w:rPr>
                <w:sz w:val="18"/>
                <w:szCs w:val="18"/>
              </w:rPr>
            </w:pPr>
            <w:r>
              <w:rPr>
                <w:sz w:val="18"/>
                <w:szCs w:val="18"/>
              </w:rPr>
              <w:t>7</w:t>
            </w:r>
            <w:r w:rsidR="00BF5D20">
              <w:rPr>
                <w:sz w:val="18"/>
                <w:szCs w:val="18"/>
              </w:rPr>
              <w:t> 000 000</w:t>
            </w:r>
          </w:p>
        </w:tc>
      </w:tr>
      <w:tr w:rsidR="00955546" w14:paraId="0A4AE56D" w14:textId="77777777" w:rsidTr="00993677">
        <w:tc>
          <w:tcPr>
            <w:tcW w:w="1652" w:type="dxa"/>
          </w:tcPr>
          <w:p w14:paraId="0D8AFE40" w14:textId="13A24E5A" w:rsidR="00955546" w:rsidRPr="00BF5D20" w:rsidRDefault="00955546" w:rsidP="00955546">
            <w:pPr>
              <w:pStyle w:val="BodyTextIndent3"/>
              <w:spacing w:after="120"/>
              <w:ind w:firstLine="0"/>
              <w:rPr>
                <w:sz w:val="18"/>
                <w:szCs w:val="18"/>
              </w:rPr>
            </w:pPr>
            <w:r w:rsidRPr="00BF5D20">
              <w:rPr>
                <w:sz w:val="18"/>
                <w:szCs w:val="18"/>
              </w:rPr>
              <w:t>2.vieta</w:t>
            </w:r>
          </w:p>
        </w:tc>
        <w:tc>
          <w:tcPr>
            <w:tcW w:w="1676" w:type="dxa"/>
          </w:tcPr>
          <w:p w14:paraId="28488DA8" w14:textId="17478744" w:rsidR="00955546" w:rsidRPr="00BF5D20" w:rsidRDefault="00955546" w:rsidP="00955546">
            <w:pPr>
              <w:pStyle w:val="BodyTextIndent3"/>
              <w:spacing w:after="120"/>
              <w:ind w:firstLine="0"/>
              <w:rPr>
                <w:sz w:val="18"/>
                <w:szCs w:val="18"/>
              </w:rPr>
            </w:pPr>
            <w:r>
              <w:rPr>
                <w:sz w:val="18"/>
                <w:szCs w:val="18"/>
              </w:rPr>
              <w:t>25</w:t>
            </w:r>
            <w:r w:rsidRPr="00BF5D20">
              <w:rPr>
                <w:sz w:val="18"/>
                <w:szCs w:val="18"/>
              </w:rPr>
              <w:t>%</w:t>
            </w:r>
          </w:p>
        </w:tc>
        <w:tc>
          <w:tcPr>
            <w:tcW w:w="1684" w:type="dxa"/>
          </w:tcPr>
          <w:p w14:paraId="026F268C" w14:textId="2E1CF420" w:rsidR="00955546" w:rsidRPr="00955546" w:rsidRDefault="00955546" w:rsidP="00955546">
            <w:pPr>
              <w:pStyle w:val="BodyTextIndent3"/>
              <w:spacing w:after="120"/>
              <w:ind w:firstLine="0"/>
              <w:rPr>
                <w:sz w:val="18"/>
                <w:szCs w:val="18"/>
              </w:rPr>
            </w:pPr>
            <w:r w:rsidRPr="00955546">
              <w:rPr>
                <w:sz w:val="18"/>
                <w:szCs w:val="18"/>
              </w:rPr>
              <w:t>525 000</w:t>
            </w:r>
          </w:p>
        </w:tc>
        <w:tc>
          <w:tcPr>
            <w:tcW w:w="1665" w:type="dxa"/>
          </w:tcPr>
          <w:p w14:paraId="7D268B64" w14:textId="7C3084E1" w:rsidR="00955546" w:rsidRPr="00BF5D20" w:rsidRDefault="00955546" w:rsidP="00955546">
            <w:pPr>
              <w:pStyle w:val="BodyTextIndent3"/>
              <w:spacing w:after="120"/>
              <w:ind w:firstLine="0"/>
              <w:rPr>
                <w:sz w:val="18"/>
                <w:szCs w:val="18"/>
              </w:rPr>
            </w:pPr>
            <w:r>
              <w:rPr>
                <w:sz w:val="18"/>
                <w:szCs w:val="18"/>
              </w:rPr>
              <w:t xml:space="preserve">3 750 000 </w:t>
            </w:r>
          </w:p>
        </w:tc>
        <w:tc>
          <w:tcPr>
            <w:tcW w:w="1665" w:type="dxa"/>
          </w:tcPr>
          <w:p w14:paraId="4ABE86EC" w14:textId="6C669B9B" w:rsidR="00955546" w:rsidRPr="00BF5D20" w:rsidRDefault="00955546" w:rsidP="00955546">
            <w:pPr>
              <w:pStyle w:val="BodyTextIndent3"/>
              <w:spacing w:after="120"/>
              <w:ind w:firstLine="0"/>
              <w:rPr>
                <w:sz w:val="18"/>
                <w:szCs w:val="18"/>
              </w:rPr>
            </w:pPr>
            <w:r>
              <w:rPr>
                <w:sz w:val="18"/>
                <w:szCs w:val="18"/>
              </w:rPr>
              <w:t>3 000 000</w:t>
            </w:r>
          </w:p>
        </w:tc>
      </w:tr>
      <w:tr w:rsidR="00955546" w14:paraId="16F67237" w14:textId="77777777" w:rsidTr="00993677">
        <w:tc>
          <w:tcPr>
            <w:tcW w:w="1652" w:type="dxa"/>
          </w:tcPr>
          <w:p w14:paraId="247CE9B3" w14:textId="770BC27F" w:rsidR="00955546" w:rsidRPr="00871EEA" w:rsidRDefault="00955546" w:rsidP="00955546">
            <w:pPr>
              <w:pStyle w:val="BodyTextIndent3"/>
              <w:spacing w:after="120"/>
              <w:ind w:firstLine="0"/>
              <w:rPr>
                <w:sz w:val="18"/>
                <w:szCs w:val="18"/>
              </w:rPr>
            </w:pPr>
            <w:r w:rsidRPr="00871EEA">
              <w:rPr>
                <w:sz w:val="18"/>
                <w:szCs w:val="18"/>
              </w:rPr>
              <w:t>3.vieta</w:t>
            </w:r>
          </w:p>
        </w:tc>
        <w:tc>
          <w:tcPr>
            <w:tcW w:w="1676" w:type="dxa"/>
          </w:tcPr>
          <w:p w14:paraId="671E4520" w14:textId="6F22546D" w:rsidR="00955546" w:rsidRPr="00871EEA" w:rsidRDefault="00955546" w:rsidP="00955546">
            <w:pPr>
              <w:pStyle w:val="BodyTextIndent3"/>
              <w:spacing w:after="120"/>
              <w:ind w:firstLine="0"/>
              <w:rPr>
                <w:sz w:val="18"/>
                <w:szCs w:val="18"/>
              </w:rPr>
            </w:pPr>
            <w:r w:rsidRPr="00871EEA">
              <w:rPr>
                <w:sz w:val="18"/>
                <w:szCs w:val="18"/>
              </w:rPr>
              <w:t>17%</w:t>
            </w:r>
          </w:p>
        </w:tc>
        <w:tc>
          <w:tcPr>
            <w:tcW w:w="1684" w:type="dxa"/>
          </w:tcPr>
          <w:p w14:paraId="0F4ED94F" w14:textId="36DBACB6" w:rsidR="00955546" w:rsidRPr="00871EEA" w:rsidRDefault="00955546" w:rsidP="00955546">
            <w:pPr>
              <w:pStyle w:val="BodyTextIndent3"/>
              <w:spacing w:after="120"/>
              <w:ind w:firstLine="0"/>
              <w:rPr>
                <w:sz w:val="18"/>
                <w:szCs w:val="18"/>
              </w:rPr>
            </w:pPr>
            <w:r w:rsidRPr="00871EEA">
              <w:rPr>
                <w:sz w:val="18"/>
                <w:szCs w:val="18"/>
              </w:rPr>
              <w:t>350 000</w:t>
            </w:r>
          </w:p>
        </w:tc>
        <w:tc>
          <w:tcPr>
            <w:tcW w:w="1665" w:type="dxa"/>
          </w:tcPr>
          <w:p w14:paraId="5EF368C4" w14:textId="00EA1E87" w:rsidR="00955546" w:rsidRPr="00871EEA" w:rsidRDefault="00955546" w:rsidP="00955546">
            <w:pPr>
              <w:pStyle w:val="BodyTextIndent3"/>
              <w:spacing w:after="120"/>
              <w:ind w:firstLine="0"/>
              <w:rPr>
                <w:sz w:val="18"/>
                <w:szCs w:val="18"/>
              </w:rPr>
            </w:pPr>
            <w:r w:rsidRPr="00871EEA">
              <w:rPr>
                <w:sz w:val="18"/>
                <w:szCs w:val="18"/>
              </w:rPr>
              <w:t>2 500 000</w:t>
            </w:r>
          </w:p>
        </w:tc>
        <w:tc>
          <w:tcPr>
            <w:tcW w:w="1665" w:type="dxa"/>
          </w:tcPr>
          <w:p w14:paraId="3B070277" w14:textId="019AB65B" w:rsidR="00955546" w:rsidRPr="00871EEA" w:rsidRDefault="00955546" w:rsidP="00955546">
            <w:pPr>
              <w:pStyle w:val="BodyTextIndent3"/>
              <w:spacing w:after="120"/>
              <w:ind w:firstLine="0"/>
              <w:rPr>
                <w:sz w:val="18"/>
                <w:szCs w:val="18"/>
              </w:rPr>
            </w:pPr>
            <w:r w:rsidRPr="00871EEA">
              <w:rPr>
                <w:sz w:val="18"/>
                <w:szCs w:val="18"/>
              </w:rPr>
              <w:t>2 000 000</w:t>
            </w:r>
          </w:p>
        </w:tc>
      </w:tr>
      <w:tr w:rsidR="00BF5D20" w14:paraId="4F594828" w14:textId="77777777" w:rsidTr="00993677">
        <w:tc>
          <w:tcPr>
            <w:tcW w:w="1652" w:type="dxa"/>
          </w:tcPr>
          <w:p w14:paraId="5B6718B5" w14:textId="0E8B9AB5" w:rsidR="00BF5D20" w:rsidRPr="001F34A8" w:rsidRDefault="00BF5D20" w:rsidP="00BF5D20">
            <w:pPr>
              <w:pStyle w:val="BodyTextIndent3"/>
              <w:spacing w:after="120"/>
              <w:ind w:firstLine="0"/>
              <w:rPr>
                <w:b/>
                <w:sz w:val="18"/>
                <w:szCs w:val="18"/>
              </w:rPr>
            </w:pPr>
            <w:r w:rsidRPr="001F34A8">
              <w:rPr>
                <w:b/>
                <w:sz w:val="18"/>
                <w:szCs w:val="18"/>
              </w:rPr>
              <w:t>Kopā</w:t>
            </w:r>
          </w:p>
        </w:tc>
        <w:tc>
          <w:tcPr>
            <w:tcW w:w="1676" w:type="dxa"/>
          </w:tcPr>
          <w:p w14:paraId="1D2BC5FA" w14:textId="53F52711" w:rsidR="00BF5D20" w:rsidRPr="001F34A8" w:rsidRDefault="00BF5D20" w:rsidP="00BF5D20">
            <w:pPr>
              <w:pStyle w:val="BodyTextIndent3"/>
              <w:spacing w:after="120"/>
              <w:ind w:firstLine="0"/>
              <w:rPr>
                <w:b/>
                <w:sz w:val="18"/>
                <w:szCs w:val="18"/>
              </w:rPr>
            </w:pPr>
            <w:r w:rsidRPr="001F34A8">
              <w:rPr>
                <w:b/>
                <w:sz w:val="18"/>
                <w:szCs w:val="18"/>
              </w:rPr>
              <w:t>100%</w:t>
            </w:r>
          </w:p>
        </w:tc>
        <w:tc>
          <w:tcPr>
            <w:tcW w:w="1684" w:type="dxa"/>
          </w:tcPr>
          <w:p w14:paraId="3356C2B7" w14:textId="4D72DCDD" w:rsidR="00BF5D20" w:rsidRPr="00955546" w:rsidRDefault="00993677" w:rsidP="00BF5D20">
            <w:pPr>
              <w:pStyle w:val="BodyTextIndent3"/>
              <w:spacing w:after="120"/>
              <w:ind w:firstLine="0"/>
              <w:rPr>
                <w:b/>
                <w:sz w:val="18"/>
                <w:szCs w:val="18"/>
              </w:rPr>
            </w:pPr>
            <w:r w:rsidRPr="00955546">
              <w:rPr>
                <w:b/>
                <w:sz w:val="18"/>
                <w:szCs w:val="18"/>
              </w:rPr>
              <w:t>2</w:t>
            </w:r>
            <w:r w:rsidR="00955546" w:rsidRPr="00955546">
              <w:rPr>
                <w:b/>
                <w:sz w:val="18"/>
                <w:szCs w:val="18"/>
              </w:rPr>
              <w:t> 100 000</w:t>
            </w:r>
          </w:p>
        </w:tc>
        <w:tc>
          <w:tcPr>
            <w:tcW w:w="1665" w:type="dxa"/>
          </w:tcPr>
          <w:p w14:paraId="2278B77B" w14:textId="6C691F98" w:rsidR="00BF5D20" w:rsidRPr="001F34A8" w:rsidRDefault="00993677" w:rsidP="00BF5D20">
            <w:pPr>
              <w:pStyle w:val="BodyTextIndent3"/>
              <w:spacing w:after="120"/>
              <w:ind w:firstLine="0"/>
              <w:rPr>
                <w:b/>
                <w:sz w:val="18"/>
                <w:szCs w:val="18"/>
              </w:rPr>
            </w:pPr>
            <w:r>
              <w:rPr>
                <w:b/>
                <w:sz w:val="18"/>
                <w:szCs w:val="18"/>
              </w:rPr>
              <w:t>15 000 000</w:t>
            </w:r>
          </w:p>
        </w:tc>
        <w:tc>
          <w:tcPr>
            <w:tcW w:w="1665" w:type="dxa"/>
          </w:tcPr>
          <w:p w14:paraId="0C23AABA" w14:textId="0FF0C0B7" w:rsidR="00BF5D20" w:rsidRPr="001F34A8" w:rsidRDefault="00993677" w:rsidP="00BF5D20">
            <w:pPr>
              <w:pStyle w:val="BodyTextIndent3"/>
              <w:spacing w:after="120"/>
              <w:ind w:firstLine="0"/>
              <w:rPr>
                <w:b/>
                <w:sz w:val="18"/>
                <w:szCs w:val="18"/>
              </w:rPr>
            </w:pPr>
            <w:r>
              <w:rPr>
                <w:b/>
                <w:sz w:val="18"/>
                <w:szCs w:val="18"/>
              </w:rPr>
              <w:t>12</w:t>
            </w:r>
            <w:r w:rsidR="00BF5D20" w:rsidRPr="001F34A8">
              <w:rPr>
                <w:b/>
                <w:sz w:val="18"/>
                <w:szCs w:val="18"/>
              </w:rPr>
              <w:t> 000 000</w:t>
            </w:r>
          </w:p>
        </w:tc>
      </w:tr>
    </w:tbl>
    <w:p w14:paraId="74430C07" w14:textId="7E454C0E" w:rsidR="004C62AF" w:rsidRDefault="004C62AF" w:rsidP="00BF5D20">
      <w:pPr>
        <w:pStyle w:val="BodyTextIndent3"/>
        <w:spacing w:after="120"/>
        <w:ind w:firstLine="0"/>
        <w:rPr>
          <w:szCs w:val="24"/>
        </w:rPr>
      </w:pPr>
    </w:p>
    <w:p w14:paraId="4B316A78" w14:textId="1DF4EF25" w:rsidR="004C62AF" w:rsidRDefault="004C62AF" w:rsidP="00724F6B">
      <w:pPr>
        <w:pStyle w:val="BodyTextIndent3"/>
        <w:numPr>
          <w:ilvl w:val="1"/>
          <w:numId w:val="2"/>
        </w:numPr>
        <w:spacing w:after="120"/>
        <w:rPr>
          <w:szCs w:val="24"/>
        </w:rPr>
      </w:pPr>
      <w:r w:rsidRPr="00A05523">
        <w:rPr>
          <w:szCs w:val="24"/>
        </w:rPr>
        <w:t xml:space="preserve">Ja </w:t>
      </w:r>
      <w:r w:rsidR="00946EC0">
        <w:rPr>
          <w:szCs w:val="24"/>
        </w:rPr>
        <w:t xml:space="preserve">otrās atlases kārtas ietvaros </w:t>
      </w:r>
      <w:r w:rsidRPr="00A05523">
        <w:rPr>
          <w:szCs w:val="24"/>
        </w:rPr>
        <w:t xml:space="preserve">par </w:t>
      </w:r>
      <w:r w:rsidR="001307FB" w:rsidRPr="00A05523">
        <w:rPr>
          <w:szCs w:val="24"/>
        </w:rPr>
        <w:t>atbilstoš</w:t>
      </w:r>
      <w:r w:rsidR="001307FB">
        <w:rPr>
          <w:szCs w:val="24"/>
        </w:rPr>
        <w:t>iem</w:t>
      </w:r>
      <w:r w:rsidR="001307FB" w:rsidRPr="00A05523">
        <w:rPr>
          <w:szCs w:val="24"/>
        </w:rPr>
        <w:t xml:space="preserve"> </w:t>
      </w:r>
      <w:r w:rsidRPr="00A05523">
        <w:rPr>
          <w:szCs w:val="24"/>
        </w:rPr>
        <w:t>atzīt</w:t>
      </w:r>
      <w:r w:rsidR="001307FB">
        <w:rPr>
          <w:szCs w:val="24"/>
        </w:rPr>
        <w:t>i</w:t>
      </w:r>
      <w:r w:rsidRPr="00A05523">
        <w:rPr>
          <w:szCs w:val="24"/>
        </w:rPr>
        <w:t xml:space="preserve"> </w:t>
      </w:r>
      <w:r w:rsidR="00955546">
        <w:rPr>
          <w:szCs w:val="24"/>
        </w:rPr>
        <w:t xml:space="preserve">divi vai </w:t>
      </w:r>
      <w:r w:rsidRPr="00A05523">
        <w:rPr>
          <w:szCs w:val="24"/>
        </w:rPr>
        <w:t xml:space="preserve">mazāk kā </w:t>
      </w:r>
      <w:r w:rsidR="00946EC0" w:rsidRPr="00955546">
        <w:rPr>
          <w:szCs w:val="24"/>
        </w:rPr>
        <w:t>divi</w:t>
      </w:r>
      <w:r w:rsidR="001307FB" w:rsidRPr="00955546">
        <w:rPr>
          <w:szCs w:val="24"/>
        </w:rPr>
        <w:t xml:space="preserve"> p</w:t>
      </w:r>
      <w:r w:rsidR="001307FB">
        <w:rPr>
          <w:szCs w:val="24"/>
        </w:rPr>
        <w:t>retendenti</w:t>
      </w:r>
      <w:r w:rsidRPr="00A05523">
        <w:rPr>
          <w:szCs w:val="24"/>
        </w:rPr>
        <w:t xml:space="preserve"> vai </w:t>
      </w:r>
      <w:r w:rsidR="001307FB">
        <w:rPr>
          <w:szCs w:val="24"/>
        </w:rPr>
        <w:t>L</w:t>
      </w:r>
      <w:r w:rsidRPr="00A05523">
        <w:rPr>
          <w:szCs w:val="24"/>
        </w:rPr>
        <w:t xml:space="preserve">īguma darbības laikā </w:t>
      </w:r>
      <w:r w:rsidR="001307FB">
        <w:rPr>
          <w:szCs w:val="24"/>
        </w:rPr>
        <w:t>S</w:t>
      </w:r>
      <w:r w:rsidRPr="00A05523">
        <w:rPr>
          <w:szCs w:val="24"/>
        </w:rPr>
        <w:t xml:space="preserve">abiedrība </w:t>
      </w:r>
      <w:r w:rsidR="003E6ECC">
        <w:rPr>
          <w:szCs w:val="24"/>
        </w:rPr>
        <w:t>un</w:t>
      </w:r>
      <w:r w:rsidR="003E6ECC" w:rsidRPr="00A05523">
        <w:rPr>
          <w:szCs w:val="24"/>
        </w:rPr>
        <w:t xml:space="preserve"> </w:t>
      </w:r>
      <w:r w:rsidR="001307FB">
        <w:rPr>
          <w:szCs w:val="24"/>
        </w:rPr>
        <w:t>pretendents</w:t>
      </w:r>
      <w:r w:rsidR="001307FB" w:rsidRPr="00A05523">
        <w:rPr>
          <w:szCs w:val="24"/>
        </w:rPr>
        <w:t xml:space="preserve"> </w:t>
      </w:r>
      <w:r w:rsidRPr="00A05523">
        <w:rPr>
          <w:szCs w:val="24"/>
        </w:rPr>
        <w:t xml:space="preserve">vienojas samazināt </w:t>
      </w:r>
      <w:r w:rsidRPr="00BF5D20">
        <w:rPr>
          <w:szCs w:val="24"/>
        </w:rPr>
        <w:t>līguma summu</w:t>
      </w:r>
      <w:r w:rsidRPr="00A05523">
        <w:rPr>
          <w:szCs w:val="24"/>
        </w:rPr>
        <w:t xml:space="preserve">, atlikušo pieejamo finansējumu </w:t>
      </w:r>
      <w:r w:rsidR="001307FB">
        <w:rPr>
          <w:szCs w:val="24"/>
        </w:rPr>
        <w:t xml:space="preserve">Sabiedrība </w:t>
      </w:r>
      <w:r>
        <w:rPr>
          <w:szCs w:val="24"/>
        </w:rPr>
        <w:t>var sadalīt</w:t>
      </w:r>
      <w:r w:rsidRPr="00A05523">
        <w:rPr>
          <w:szCs w:val="24"/>
        </w:rPr>
        <w:t xml:space="preserve"> </w:t>
      </w:r>
      <w:r w:rsidR="00B84BE0">
        <w:rPr>
          <w:szCs w:val="24"/>
        </w:rPr>
        <w:t xml:space="preserve">proporcionāli </w:t>
      </w:r>
      <w:r w:rsidRPr="00A05523">
        <w:rPr>
          <w:szCs w:val="24"/>
        </w:rPr>
        <w:t xml:space="preserve">starp </w:t>
      </w:r>
      <w:r w:rsidR="001307FB" w:rsidRPr="00A05523">
        <w:rPr>
          <w:szCs w:val="24"/>
        </w:rPr>
        <w:t>atlasītaj</w:t>
      </w:r>
      <w:r w:rsidR="001307FB">
        <w:rPr>
          <w:szCs w:val="24"/>
        </w:rPr>
        <w:t>iem pretendentiem</w:t>
      </w:r>
      <w:r w:rsidR="00946EC0">
        <w:rPr>
          <w:szCs w:val="24"/>
        </w:rPr>
        <w:t xml:space="preserve"> abu kārtu ietvaros</w:t>
      </w:r>
      <w:r w:rsidR="00607227">
        <w:rPr>
          <w:szCs w:val="24"/>
        </w:rPr>
        <w:t>, ievērojot nosacījumu, ka</w:t>
      </w:r>
      <w:r w:rsidR="001307FB">
        <w:rPr>
          <w:szCs w:val="24"/>
        </w:rPr>
        <w:t xml:space="preserve"> pretendentam</w:t>
      </w:r>
      <w:r w:rsidR="00607227">
        <w:rPr>
          <w:szCs w:val="24"/>
        </w:rPr>
        <w:t xml:space="preserve"> ar augstāko vērtējumu piešķir ne vairāk kā 50% no</w:t>
      </w:r>
      <w:r w:rsidR="00946EC0">
        <w:rPr>
          <w:szCs w:val="24"/>
        </w:rPr>
        <w:t xml:space="preserve"> kopējā</w:t>
      </w:r>
      <w:r w:rsidR="00607227">
        <w:rPr>
          <w:szCs w:val="24"/>
        </w:rPr>
        <w:t xml:space="preserve"> pieejamā finansējuma</w:t>
      </w:r>
      <w:r w:rsidR="00946EC0">
        <w:rPr>
          <w:szCs w:val="24"/>
        </w:rPr>
        <w:t xml:space="preserve"> abu kārtu ietvaros</w:t>
      </w:r>
      <w:bookmarkEnd w:id="11"/>
      <w:r w:rsidRPr="00A05523">
        <w:rPr>
          <w:szCs w:val="24"/>
        </w:rPr>
        <w:t>.</w:t>
      </w:r>
    </w:p>
    <w:bookmarkEnd w:id="9"/>
    <w:p w14:paraId="59CE87C6" w14:textId="77777777" w:rsidR="00D2130A" w:rsidRPr="00F9741B" w:rsidRDefault="00D2130A" w:rsidP="00724F6B">
      <w:pPr>
        <w:numPr>
          <w:ilvl w:val="1"/>
          <w:numId w:val="2"/>
        </w:numPr>
        <w:spacing w:after="120"/>
        <w:ind w:right="-2"/>
        <w:jc w:val="both"/>
      </w:pPr>
      <w:r w:rsidRPr="00F9741B">
        <w:t xml:space="preserve">Lēmumu par </w:t>
      </w:r>
      <w:r w:rsidR="0001753D" w:rsidRPr="00F9741B">
        <w:t>atlases</w:t>
      </w:r>
      <w:r w:rsidRPr="00F9741B">
        <w:t xml:space="preserve"> rezultātu apstiprināšanu pieņem </w:t>
      </w:r>
      <w:r w:rsidR="001D04FB" w:rsidRPr="00F9741B">
        <w:t>Sabiedrības</w:t>
      </w:r>
      <w:r w:rsidRPr="00F9741B">
        <w:t xml:space="preserve"> valde. </w:t>
      </w:r>
    </w:p>
    <w:p w14:paraId="633BA586" w14:textId="5753FDA5" w:rsidR="00D2130A" w:rsidRPr="00F9741B" w:rsidRDefault="00D2130A" w:rsidP="00724F6B">
      <w:pPr>
        <w:numPr>
          <w:ilvl w:val="1"/>
          <w:numId w:val="2"/>
        </w:numPr>
        <w:spacing w:after="120"/>
        <w:ind w:right="-2"/>
        <w:jc w:val="both"/>
      </w:pPr>
      <w:r w:rsidRPr="00F9741B">
        <w:t xml:space="preserve">Paziņojums par </w:t>
      </w:r>
      <w:r w:rsidR="0001753D" w:rsidRPr="00F9741B">
        <w:t>atlases</w:t>
      </w:r>
      <w:r w:rsidRPr="00F9741B">
        <w:t xml:space="preserve"> rezultātiem </w:t>
      </w:r>
      <w:r w:rsidR="00F5657C">
        <w:t>5</w:t>
      </w:r>
      <w:r w:rsidR="00F5657C" w:rsidRPr="00F9741B">
        <w:t xml:space="preserve"> </w:t>
      </w:r>
      <w:r w:rsidRPr="00F9741B">
        <w:t>(</w:t>
      </w:r>
      <w:r w:rsidR="00F5657C">
        <w:t>piecu</w:t>
      </w:r>
      <w:r w:rsidRPr="00F9741B">
        <w:t xml:space="preserve">) darba dienu laikā pēc lēmuma pieņemšanas tiek nosūtīts </w:t>
      </w:r>
      <w:r w:rsidR="00190B95">
        <w:t>p</w:t>
      </w:r>
      <w:r w:rsidRPr="00F9741B">
        <w:t>retendent</w:t>
      </w:r>
      <w:r w:rsidR="0001753D" w:rsidRPr="00F9741B">
        <w:t>ie</w:t>
      </w:r>
      <w:r w:rsidRPr="00F9741B">
        <w:t>m</w:t>
      </w:r>
      <w:r w:rsidR="001603B2" w:rsidRPr="00F9741B">
        <w:t>, kur</w:t>
      </w:r>
      <w:r w:rsidR="0001753D" w:rsidRPr="00F9741B">
        <w:t>ie</w:t>
      </w:r>
      <w:r w:rsidR="001603B2" w:rsidRPr="00F9741B">
        <w:t xml:space="preserve">m piešķirtas </w:t>
      </w:r>
      <w:r w:rsidR="00190B95">
        <w:t>L</w:t>
      </w:r>
      <w:r w:rsidR="001603B2" w:rsidRPr="00F9741B">
        <w:t>īguma slēgšanas tiesības</w:t>
      </w:r>
      <w:r w:rsidRPr="00F9741B">
        <w:t xml:space="preserve">. </w:t>
      </w:r>
    </w:p>
    <w:p w14:paraId="0249E36B" w14:textId="6945BC2B" w:rsidR="00301A7B" w:rsidRPr="001F34A8" w:rsidRDefault="00664D96" w:rsidP="00724F6B">
      <w:pPr>
        <w:numPr>
          <w:ilvl w:val="1"/>
          <w:numId w:val="2"/>
        </w:numPr>
        <w:spacing w:after="120"/>
        <w:ind w:right="-2"/>
        <w:jc w:val="both"/>
      </w:pPr>
      <w:bookmarkStart w:id="12" w:name="_Ref492381164"/>
      <w:r w:rsidRPr="00F9741B">
        <w:t>Pretendents</w:t>
      </w:r>
      <w:r w:rsidR="00E33BA9">
        <w:t xml:space="preserve"> ne vēlāk</w:t>
      </w:r>
      <w:r w:rsidRPr="00F9741B">
        <w:t xml:space="preserve"> </w:t>
      </w:r>
      <w:r w:rsidR="00946EC0">
        <w:t>3</w:t>
      </w:r>
      <w:r w:rsidR="00993677">
        <w:t>0</w:t>
      </w:r>
      <w:r w:rsidRPr="00F9741B">
        <w:t xml:space="preserve"> (</w:t>
      </w:r>
      <w:r w:rsidR="00946EC0">
        <w:t>trīs</w:t>
      </w:r>
      <w:r w:rsidR="00993677">
        <w:t>desmit</w:t>
      </w:r>
      <w:r w:rsidRPr="00F9741B">
        <w:t xml:space="preserve">) darba dienu laikā pēc </w:t>
      </w:r>
      <w:r w:rsidR="0001753D" w:rsidRPr="00F9741B">
        <w:t>atlases</w:t>
      </w:r>
      <w:r w:rsidRPr="00F9741B">
        <w:t xml:space="preserve"> rezultātu paziņošanas paraksta un iesniedz </w:t>
      </w:r>
      <w:r w:rsidR="001D04FB" w:rsidRPr="00F9741B">
        <w:t>Sabiedrīb</w:t>
      </w:r>
      <w:r w:rsidRPr="00F9741B">
        <w:t xml:space="preserve">ā, Doma laukumā 4, Rīgā, parakstītu </w:t>
      </w:r>
      <w:r w:rsidR="00190B95">
        <w:t>L</w:t>
      </w:r>
      <w:r w:rsidRPr="00F9741B">
        <w:t>īgumu</w:t>
      </w:r>
      <w:r w:rsidR="00E33BA9">
        <w:t xml:space="preserve"> (papīra formā vai elektroniski)</w:t>
      </w:r>
      <w:r w:rsidR="00451858" w:rsidRPr="00F9741B">
        <w:t xml:space="preserve">, kurš sagatavots </w:t>
      </w:r>
      <w:r w:rsidR="00451858" w:rsidRPr="001F34A8">
        <w:t xml:space="preserve">atbilstoši </w:t>
      </w:r>
      <w:r w:rsidR="00441DC7" w:rsidRPr="001F34A8">
        <w:t>4.</w:t>
      </w:r>
      <w:r w:rsidR="00451858" w:rsidRPr="001F34A8">
        <w:t xml:space="preserve">pielikumā pievienotajam </w:t>
      </w:r>
      <w:r w:rsidR="00190B95" w:rsidRPr="001F34A8">
        <w:t>L</w:t>
      </w:r>
      <w:r w:rsidR="00451858" w:rsidRPr="001F34A8">
        <w:t>īguma projektam</w:t>
      </w:r>
      <w:r w:rsidRPr="001F34A8">
        <w:t>.</w:t>
      </w:r>
      <w:bookmarkEnd w:id="12"/>
      <w:r w:rsidRPr="001F34A8">
        <w:t xml:space="preserve"> </w:t>
      </w:r>
    </w:p>
    <w:p w14:paraId="67A63C43" w14:textId="50EC95D9" w:rsidR="008F3A23" w:rsidRPr="00F5657C" w:rsidRDefault="00664D96" w:rsidP="00724F6B">
      <w:pPr>
        <w:numPr>
          <w:ilvl w:val="1"/>
          <w:numId w:val="2"/>
        </w:numPr>
        <w:spacing w:after="120"/>
        <w:ind w:left="709" w:right="-2" w:hanging="709"/>
        <w:jc w:val="both"/>
      </w:pPr>
      <w:r w:rsidRPr="00F9741B">
        <w:t>P</w:t>
      </w:r>
      <w:r w:rsidR="002F1AD4">
        <w:t>aziņojumu par līguma noslēgšanu</w:t>
      </w:r>
      <w:r w:rsidRPr="00F9741B">
        <w:t xml:space="preserve"> </w:t>
      </w:r>
      <w:r w:rsidR="001D04FB" w:rsidRPr="00F9741B">
        <w:t>Sabiedrība</w:t>
      </w:r>
      <w:r w:rsidR="007B33FD" w:rsidRPr="00F9741B">
        <w:t xml:space="preserve"> </w:t>
      </w:r>
      <w:proofErr w:type="spellStart"/>
      <w:r w:rsidR="007B33FD" w:rsidRPr="00F9741B">
        <w:t>nosūta</w:t>
      </w:r>
      <w:proofErr w:type="spellEnd"/>
      <w:r w:rsidR="007B33FD" w:rsidRPr="00F9741B">
        <w:t xml:space="preserve"> visiem pretendentiem, kā arī</w:t>
      </w:r>
      <w:r w:rsidRPr="00F9741B">
        <w:t xml:space="preserve"> publicē</w:t>
      </w:r>
      <w:r w:rsidR="007B33FD" w:rsidRPr="00F9741B">
        <w:t xml:space="preserve"> to</w:t>
      </w:r>
      <w:r w:rsidRPr="00F9741B">
        <w:t xml:space="preserve"> </w:t>
      </w:r>
      <w:r w:rsidR="0001753D" w:rsidRPr="00F9741B">
        <w:t>Sabiedrības</w:t>
      </w:r>
      <w:r w:rsidRPr="00F9741B">
        <w:t xml:space="preserve"> </w:t>
      </w:r>
      <w:r w:rsidRPr="00F5657C">
        <w:t xml:space="preserve">mājas lapā internetā </w:t>
      </w:r>
      <w:r w:rsidR="005B03D9" w:rsidRPr="00F5657C">
        <w:t xml:space="preserve">5 </w:t>
      </w:r>
      <w:r w:rsidRPr="00F5657C">
        <w:t>(</w:t>
      </w:r>
      <w:r w:rsidR="005B03D9" w:rsidRPr="00F5657C">
        <w:t>piecu</w:t>
      </w:r>
      <w:r w:rsidRPr="00F5657C">
        <w:t>) darba dienu laikā</w:t>
      </w:r>
      <w:r w:rsidR="00451858" w:rsidRPr="00F5657C">
        <w:t xml:space="preserve"> no </w:t>
      </w:r>
      <w:r w:rsidR="004B2D2D">
        <w:t>L</w:t>
      </w:r>
      <w:r w:rsidR="00451858" w:rsidRPr="00F5657C">
        <w:t>īguma noslēgšanas brīža</w:t>
      </w:r>
      <w:r w:rsidRPr="00F5657C">
        <w:t>.</w:t>
      </w:r>
    </w:p>
    <w:p w14:paraId="6F62BF9D" w14:textId="1F3D7C27" w:rsidR="004026CD" w:rsidRPr="00F5657C" w:rsidRDefault="00E97EA8" w:rsidP="00724F6B">
      <w:pPr>
        <w:numPr>
          <w:ilvl w:val="1"/>
          <w:numId w:val="2"/>
        </w:numPr>
        <w:spacing w:after="120"/>
        <w:ind w:left="709" w:right="-2" w:hanging="709"/>
        <w:jc w:val="both"/>
      </w:pPr>
      <w:r w:rsidRPr="00F5657C">
        <w:t xml:space="preserve">Komisijai ir tiesības pārtraukt </w:t>
      </w:r>
      <w:r w:rsidR="0001753D" w:rsidRPr="00F5657C">
        <w:t>atlasi</w:t>
      </w:r>
      <w:r w:rsidRPr="00F5657C">
        <w:t xml:space="preserve">, ja tiek iegūta pietiekama informācija un pārliecība, ka pastāv noruna kādu atturēt no piedalīšanās </w:t>
      </w:r>
      <w:r w:rsidR="00F9741B" w:rsidRPr="00F5657C">
        <w:t>atlasē</w:t>
      </w:r>
      <w:r w:rsidRPr="00F5657C">
        <w:t xml:space="preserve"> vai starp </w:t>
      </w:r>
      <w:r w:rsidR="004B2D2D">
        <w:t>p</w:t>
      </w:r>
      <w:r w:rsidRPr="00F5657C">
        <w:t xml:space="preserve">retendentiem pastāv vienošanās, kas var ietekmēt </w:t>
      </w:r>
      <w:r w:rsidR="00F9741B" w:rsidRPr="00F5657C">
        <w:t>atlases</w:t>
      </w:r>
      <w:r w:rsidRPr="00F5657C">
        <w:t xml:space="preserve"> rezultātus vai gaitu.</w:t>
      </w:r>
    </w:p>
    <w:p w14:paraId="3A5DE2BF" w14:textId="69DF2E37" w:rsidR="004026CD" w:rsidRPr="00F5657C" w:rsidRDefault="00E97EA8" w:rsidP="00724F6B">
      <w:pPr>
        <w:numPr>
          <w:ilvl w:val="1"/>
          <w:numId w:val="2"/>
        </w:numPr>
        <w:spacing w:after="120"/>
        <w:ind w:left="709" w:right="-2" w:hanging="709"/>
        <w:jc w:val="both"/>
      </w:pPr>
      <w:r w:rsidRPr="00F5657C">
        <w:t xml:space="preserve">Komisija patur tiesības jebkurā brīdī pārtraukt </w:t>
      </w:r>
      <w:r w:rsidR="00F9741B" w:rsidRPr="00F5657C">
        <w:t>atlasi</w:t>
      </w:r>
      <w:r w:rsidRPr="00F5657C">
        <w:t xml:space="preserve">, ja tā konstatē jebkādas nepilnības </w:t>
      </w:r>
      <w:r w:rsidR="009174CB">
        <w:t xml:space="preserve">atlases </w:t>
      </w:r>
      <w:r w:rsidR="00F9741B" w:rsidRPr="00F5657C">
        <w:t>noteikumos</w:t>
      </w:r>
      <w:r w:rsidRPr="00F5657C">
        <w:t>.</w:t>
      </w:r>
    </w:p>
    <w:p w14:paraId="3ED084D7" w14:textId="35B8341B" w:rsidR="00E33BA9" w:rsidRPr="00F5657C" w:rsidRDefault="00F5657C" w:rsidP="00724F6B">
      <w:pPr>
        <w:numPr>
          <w:ilvl w:val="1"/>
          <w:numId w:val="2"/>
        </w:numPr>
        <w:spacing w:after="120"/>
        <w:ind w:left="709" w:right="-2" w:hanging="709"/>
        <w:jc w:val="both"/>
      </w:pPr>
      <w:r w:rsidRPr="00D672C8">
        <w:t xml:space="preserve">Atlases </w:t>
      </w:r>
      <w:r w:rsidR="007B33FD" w:rsidRPr="00F5657C">
        <w:t xml:space="preserve">gaita tiek protokolēta, norādot katra </w:t>
      </w:r>
      <w:r w:rsidR="00802ACB">
        <w:t>p</w:t>
      </w:r>
      <w:r w:rsidR="007B33FD" w:rsidRPr="00F5657C">
        <w:t xml:space="preserve">retendenta </w:t>
      </w:r>
      <w:r w:rsidR="00F9741B" w:rsidRPr="00F5657C">
        <w:t xml:space="preserve">iesniegto </w:t>
      </w:r>
      <w:r w:rsidR="00254008">
        <w:t>pieteikumu</w:t>
      </w:r>
      <w:r w:rsidR="00F9741B" w:rsidRPr="00F5657C">
        <w:t>, vērtēšanas un lēmuma pieņemšanas gaitu</w:t>
      </w:r>
      <w:r w:rsidR="007B33FD" w:rsidRPr="00F5657C">
        <w:t xml:space="preserve">. </w:t>
      </w:r>
      <w:r w:rsidRPr="00D672C8">
        <w:t xml:space="preserve">Atlases </w:t>
      </w:r>
      <w:r w:rsidR="007B33FD" w:rsidRPr="00F5657C">
        <w:t>protokolu paraksta visi Komisijas locekļi.</w:t>
      </w:r>
    </w:p>
    <w:p w14:paraId="69C08C67" w14:textId="7FCD75E6" w:rsidR="00E33BA9" w:rsidRDefault="00E33BA9" w:rsidP="00724F6B">
      <w:pPr>
        <w:numPr>
          <w:ilvl w:val="1"/>
          <w:numId w:val="2"/>
        </w:numPr>
        <w:spacing w:after="120"/>
        <w:ind w:right="-2"/>
        <w:jc w:val="both"/>
      </w:pPr>
      <w:r w:rsidRPr="00E33BA9">
        <w:lastRenderedPageBreak/>
        <w:t xml:space="preserve">Ja </w:t>
      </w:r>
      <w:r>
        <w:t xml:space="preserve">pretendents, kurš saņēmis </w:t>
      </w:r>
      <w:r w:rsidR="008462AB">
        <w:t>Sabiedrības paziņojumu par pieš</w:t>
      </w:r>
      <w:r w:rsidR="000C33CB">
        <w:t>ķ</w:t>
      </w:r>
      <w:r w:rsidR="008462AB">
        <w:t xml:space="preserve">irtajām tiesībām slēgt </w:t>
      </w:r>
      <w:r w:rsidR="00802ACB">
        <w:t>L</w:t>
      </w:r>
      <w:r w:rsidR="008462AB">
        <w:t>īgumu</w:t>
      </w:r>
      <w:r w:rsidR="00D365C8">
        <w:t xml:space="preserve"> </w:t>
      </w:r>
      <w:r w:rsidR="00802ACB">
        <w:t xml:space="preserve">atlases noteikumu </w:t>
      </w:r>
      <w:r>
        <w:fldChar w:fldCharType="begin"/>
      </w:r>
      <w:r>
        <w:instrText xml:space="preserve"> REF _Ref492381164 \r \h </w:instrText>
      </w:r>
      <w:r>
        <w:fldChar w:fldCharType="separate"/>
      </w:r>
      <w:r w:rsidR="00946EC0">
        <w:t>7.11</w:t>
      </w:r>
      <w:r>
        <w:fldChar w:fldCharType="end"/>
      </w:r>
      <w:r w:rsidR="00D365C8">
        <w:t xml:space="preserve">.punktā noteiktajā termiņā neiesniedz </w:t>
      </w:r>
      <w:r w:rsidR="00254008">
        <w:t>L</w:t>
      </w:r>
      <w:r w:rsidR="00D365C8">
        <w:t xml:space="preserve">īgumu, </w:t>
      </w:r>
      <w:r w:rsidRPr="00E33BA9">
        <w:t xml:space="preserve">atsakās slēgt </w:t>
      </w:r>
      <w:r w:rsidR="00254008">
        <w:t>L</w:t>
      </w:r>
      <w:r w:rsidRPr="00E33BA9">
        <w:t xml:space="preserve">īgumu vai atsakās slēgt </w:t>
      </w:r>
      <w:r w:rsidR="00254008">
        <w:t>L</w:t>
      </w:r>
      <w:r w:rsidRPr="00E33BA9">
        <w:t xml:space="preserve">īgumu </w:t>
      </w:r>
      <w:r>
        <w:t xml:space="preserve">atbilstoši </w:t>
      </w:r>
      <w:proofErr w:type="spellStart"/>
      <w:r w:rsidR="00254008">
        <w:t>P</w:t>
      </w:r>
      <w:r>
        <w:t>ortfeļgarantiju</w:t>
      </w:r>
      <w:proofErr w:type="spellEnd"/>
      <w:r>
        <w:t xml:space="preserve"> programmas nosacījumiem, Sabiedrība </w:t>
      </w:r>
      <w:r w:rsidR="00D365C8">
        <w:t xml:space="preserve">var </w:t>
      </w:r>
      <w:r>
        <w:t>ierosināt</w:t>
      </w:r>
      <w:r w:rsidRPr="00E33BA9">
        <w:t xml:space="preserve"> slēgt </w:t>
      </w:r>
      <w:r w:rsidR="00254008">
        <w:t>L</w:t>
      </w:r>
      <w:r w:rsidRPr="00E33BA9">
        <w:t>īgu</w:t>
      </w:r>
      <w:r>
        <w:t xml:space="preserve">mu ar </w:t>
      </w:r>
      <w:r w:rsidR="00254008">
        <w:t>p</w:t>
      </w:r>
      <w:r w:rsidR="008462AB">
        <w:t>retendentu</w:t>
      </w:r>
      <w:r>
        <w:t>, kurš saņēmis nākamo augstāko vērtējumu</w:t>
      </w:r>
      <w:r w:rsidRPr="00E33BA9">
        <w:t>.</w:t>
      </w:r>
    </w:p>
    <w:p w14:paraId="27F4ABC1" w14:textId="77777777" w:rsidR="001F34A8" w:rsidRPr="00476E4A" w:rsidRDefault="001F34A8" w:rsidP="00C7084D">
      <w:pPr>
        <w:spacing w:after="120"/>
        <w:ind w:left="720" w:right="-2"/>
        <w:jc w:val="both"/>
      </w:pPr>
    </w:p>
    <w:p w14:paraId="1AD744CE" w14:textId="77777777" w:rsidR="006A5775" w:rsidRDefault="006A5775" w:rsidP="00724F6B">
      <w:pPr>
        <w:pStyle w:val="BodyTextIndent3"/>
        <w:numPr>
          <w:ilvl w:val="0"/>
          <w:numId w:val="2"/>
        </w:numPr>
        <w:spacing w:after="120"/>
        <w:rPr>
          <w:b/>
          <w:szCs w:val="24"/>
        </w:rPr>
      </w:pPr>
      <w:r>
        <w:rPr>
          <w:b/>
          <w:szCs w:val="24"/>
        </w:rPr>
        <w:t>Citi noteikumi</w:t>
      </w:r>
    </w:p>
    <w:p w14:paraId="4F775034" w14:textId="0D9C16E1" w:rsidR="006A5775" w:rsidRDefault="006A5775" w:rsidP="00724F6B">
      <w:pPr>
        <w:pStyle w:val="BodyTextIndent3"/>
        <w:numPr>
          <w:ilvl w:val="1"/>
          <w:numId w:val="2"/>
        </w:numPr>
        <w:spacing w:after="120"/>
        <w:rPr>
          <w:szCs w:val="24"/>
        </w:rPr>
      </w:pPr>
      <w:r w:rsidRPr="009E0BF6">
        <w:rPr>
          <w:szCs w:val="24"/>
        </w:rPr>
        <w:t xml:space="preserve">Pretendents var </w:t>
      </w:r>
      <w:proofErr w:type="spellStart"/>
      <w:r w:rsidRPr="009E0BF6">
        <w:rPr>
          <w:szCs w:val="24"/>
        </w:rPr>
        <w:t>rakstveidā</w:t>
      </w:r>
      <w:proofErr w:type="spellEnd"/>
      <w:r w:rsidRPr="009E0BF6">
        <w:rPr>
          <w:szCs w:val="24"/>
        </w:rPr>
        <w:t xml:space="preserve"> pieprasīt papildu informāciju par </w:t>
      </w:r>
      <w:r>
        <w:rPr>
          <w:szCs w:val="24"/>
        </w:rPr>
        <w:t>noteikumiem</w:t>
      </w:r>
      <w:r w:rsidRPr="009E0BF6">
        <w:rPr>
          <w:szCs w:val="24"/>
        </w:rPr>
        <w:t>, ja pieprasījums</w:t>
      </w:r>
      <w:r w:rsidR="00254008">
        <w:rPr>
          <w:szCs w:val="24"/>
        </w:rPr>
        <w:t xml:space="preserve"> K</w:t>
      </w:r>
      <w:r>
        <w:rPr>
          <w:szCs w:val="24"/>
        </w:rPr>
        <w:t>omisijai</w:t>
      </w:r>
      <w:r w:rsidRPr="009E0BF6">
        <w:rPr>
          <w:szCs w:val="24"/>
        </w:rPr>
        <w:t xml:space="preserve"> iesniegts </w:t>
      </w:r>
      <w:r>
        <w:rPr>
          <w:szCs w:val="24"/>
        </w:rPr>
        <w:t>ne vēlāk kā 5 (piecas) darbdienas līdz pieteikumu iesniegšanas termiņa beigām</w:t>
      </w:r>
      <w:r w:rsidRPr="009E0BF6">
        <w:rPr>
          <w:szCs w:val="24"/>
        </w:rPr>
        <w:t xml:space="preserve">. Pieprasījums adresējams </w:t>
      </w:r>
      <w:r>
        <w:rPr>
          <w:szCs w:val="24"/>
        </w:rPr>
        <w:t>K</w:t>
      </w:r>
      <w:r w:rsidRPr="009E0BF6">
        <w:rPr>
          <w:szCs w:val="24"/>
        </w:rPr>
        <w:t>ontaktpersonai.</w:t>
      </w:r>
      <w:r>
        <w:rPr>
          <w:szCs w:val="24"/>
        </w:rPr>
        <w:t xml:space="preserve"> </w:t>
      </w:r>
      <w:r w:rsidR="00254008">
        <w:rPr>
          <w:szCs w:val="24"/>
        </w:rPr>
        <w:t>Komisija</w:t>
      </w:r>
      <w:r>
        <w:rPr>
          <w:szCs w:val="24"/>
        </w:rPr>
        <w:t xml:space="preserve"> </w:t>
      </w:r>
      <w:r w:rsidR="00A20573">
        <w:rPr>
          <w:szCs w:val="24"/>
        </w:rPr>
        <w:t xml:space="preserve">atbildi </w:t>
      </w:r>
      <w:r w:rsidRPr="00BF56D4">
        <w:rPr>
          <w:szCs w:val="24"/>
        </w:rPr>
        <w:t>sniedz 3 (trīs) darbdienu laikā</w:t>
      </w:r>
      <w:r>
        <w:rPr>
          <w:szCs w:val="24"/>
        </w:rPr>
        <w:t>.</w:t>
      </w:r>
    </w:p>
    <w:p w14:paraId="2F4CABAA" w14:textId="4ECDF73F" w:rsidR="006A5775" w:rsidRDefault="00254008" w:rsidP="00724F6B">
      <w:pPr>
        <w:pStyle w:val="BodyTextIndent3"/>
        <w:numPr>
          <w:ilvl w:val="1"/>
          <w:numId w:val="2"/>
        </w:numPr>
        <w:spacing w:after="120"/>
        <w:rPr>
          <w:szCs w:val="24"/>
        </w:rPr>
      </w:pPr>
      <w:r>
        <w:rPr>
          <w:szCs w:val="24"/>
        </w:rPr>
        <w:t>K</w:t>
      </w:r>
      <w:r w:rsidR="006A5775">
        <w:rPr>
          <w:szCs w:val="24"/>
        </w:rPr>
        <w:t>omisija var lūgt</w:t>
      </w:r>
      <w:r w:rsidR="006A5775" w:rsidRPr="009E0BF6">
        <w:rPr>
          <w:szCs w:val="24"/>
        </w:rPr>
        <w:t xml:space="preserve">, lai </w:t>
      </w:r>
      <w:r>
        <w:rPr>
          <w:szCs w:val="24"/>
        </w:rPr>
        <w:t>p</w:t>
      </w:r>
      <w:r w:rsidR="006A5775" w:rsidRPr="009E0BF6">
        <w:rPr>
          <w:szCs w:val="24"/>
        </w:rPr>
        <w:t>retendents precizē informāciju par savu pie</w:t>
      </w:r>
      <w:r w:rsidR="006A5775">
        <w:rPr>
          <w:szCs w:val="24"/>
        </w:rPr>
        <w:t>teikumu</w:t>
      </w:r>
      <w:r w:rsidR="006A5775" w:rsidRPr="009E0BF6">
        <w:rPr>
          <w:szCs w:val="24"/>
        </w:rPr>
        <w:t xml:space="preserve">, ja tas </w:t>
      </w:r>
      <w:r>
        <w:rPr>
          <w:szCs w:val="24"/>
        </w:rPr>
        <w:t xml:space="preserve">ir </w:t>
      </w:r>
      <w:r w:rsidR="006A5775" w:rsidRPr="009E0BF6">
        <w:rPr>
          <w:szCs w:val="24"/>
        </w:rPr>
        <w:t xml:space="preserve">nepieciešams </w:t>
      </w:r>
      <w:r>
        <w:rPr>
          <w:szCs w:val="24"/>
        </w:rPr>
        <w:t>p</w:t>
      </w:r>
      <w:r w:rsidR="006A5775" w:rsidRPr="009E0BF6">
        <w:rPr>
          <w:szCs w:val="24"/>
        </w:rPr>
        <w:t>retendentu atlasei, kā arī pie</w:t>
      </w:r>
      <w:r w:rsidR="006A5775">
        <w:rPr>
          <w:szCs w:val="24"/>
        </w:rPr>
        <w:t>teikumu</w:t>
      </w:r>
      <w:r w:rsidR="006A5775" w:rsidRPr="009E0BF6">
        <w:rPr>
          <w:szCs w:val="24"/>
        </w:rPr>
        <w:t xml:space="preserve"> vērtēšanai un salīdzināšanai.</w:t>
      </w:r>
    </w:p>
    <w:p w14:paraId="2B626B41" w14:textId="7A2540CE" w:rsidR="006A5775" w:rsidRDefault="00254008" w:rsidP="00724F6B">
      <w:pPr>
        <w:pStyle w:val="ListParagraph"/>
        <w:numPr>
          <w:ilvl w:val="1"/>
          <w:numId w:val="2"/>
        </w:numPr>
        <w:autoSpaceDE w:val="0"/>
        <w:autoSpaceDN w:val="0"/>
        <w:adjustRightInd w:val="0"/>
        <w:spacing w:after="120"/>
        <w:contextualSpacing w:val="0"/>
        <w:jc w:val="both"/>
        <w:rPr>
          <w:lang w:eastAsia="lv-LV"/>
        </w:rPr>
      </w:pPr>
      <w:r>
        <w:t>K</w:t>
      </w:r>
      <w:r w:rsidR="00623C16" w:rsidRPr="00623C16">
        <w:t xml:space="preserve">omisija var izdarīt grozījumus atlases noteikumos. </w:t>
      </w:r>
      <w:r w:rsidR="006A5775" w:rsidRPr="00623C16">
        <w:t xml:space="preserve">Ja atlases noteikumos tiek izdarīti grozījumi, </w:t>
      </w:r>
      <w:r w:rsidR="006A5775" w:rsidRPr="00623C16">
        <w:rPr>
          <w:lang w:eastAsia="lv-LV"/>
        </w:rPr>
        <w:t>pieteikumu iesniegšanas minimālais termiņš</w:t>
      </w:r>
      <w:r w:rsidR="00623C16" w:rsidRPr="00623C16">
        <w:rPr>
          <w:lang w:eastAsia="lv-LV"/>
        </w:rPr>
        <w:t xml:space="preserve"> ir vismaz puse no sākotnēji noteiktā </w:t>
      </w:r>
      <w:r>
        <w:rPr>
          <w:lang w:eastAsia="lv-LV"/>
        </w:rPr>
        <w:t>pieteikumu</w:t>
      </w:r>
      <w:r w:rsidRPr="00E847D5">
        <w:rPr>
          <w:lang w:eastAsia="lv-LV"/>
        </w:rPr>
        <w:t xml:space="preserve"> </w:t>
      </w:r>
      <w:r w:rsidR="00623C16" w:rsidRPr="00E847D5">
        <w:rPr>
          <w:lang w:eastAsia="lv-LV"/>
        </w:rPr>
        <w:t>iesniegšanas termiņa.</w:t>
      </w:r>
    </w:p>
    <w:p w14:paraId="79B975ED" w14:textId="02340591" w:rsidR="00623C16" w:rsidRPr="00962758" w:rsidRDefault="00623C16" w:rsidP="00724F6B">
      <w:pPr>
        <w:pStyle w:val="ListParagraph"/>
        <w:numPr>
          <w:ilvl w:val="1"/>
          <w:numId w:val="2"/>
        </w:numPr>
        <w:autoSpaceDE w:val="0"/>
        <w:autoSpaceDN w:val="0"/>
        <w:adjustRightInd w:val="0"/>
        <w:spacing w:after="120"/>
        <w:contextualSpacing w:val="0"/>
        <w:jc w:val="both"/>
        <w:rPr>
          <w:lang w:eastAsia="lv-LV"/>
        </w:rPr>
      </w:pPr>
      <w:r>
        <w:rPr>
          <w:lang w:eastAsia="lv-LV"/>
        </w:rPr>
        <w:t>Dokumenti</w:t>
      </w:r>
      <w:r w:rsidRPr="00623C16">
        <w:rPr>
          <w:lang w:eastAsia="lv-LV"/>
        </w:rPr>
        <w:t xml:space="preserve">, kas atspoguļo </w:t>
      </w:r>
      <w:r w:rsidRPr="00962758">
        <w:rPr>
          <w:lang w:eastAsia="lv-LV"/>
        </w:rPr>
        <w:t>atlases</w:t>
      </w:r>
      <w:r w:rsidRPr="00623C16">
        <w:rPr>
          <w:lang w:eastAsia="lv-LV"/>
        </w:rPr>
        <w:t xml:space="preserve"> norisi, izņemot </w:t>
      </w:r>
      <w:r w:rsidR="00254008">
        <w:rPr>
          <w:lang w:eastAsia="lv-LV"/>
        </w:rPr>
        <w:t>p</w:t>
      </w:r>
      <w:r>
        <w:rPr>
          <w:lang w:eastAsia="lv-LV"/>
        </w:rPr>
        <w:t xml:space="preserve">retendentu </w:t>
      </w:r>
      <w:r w:rsidRPr="00623C16">
        <w:rPr>
          <w:lang w:eastAsia="lv-LV"/>
        </w:rPr>
        <w:t>pie</w:t>
      </w:r>
      <w:r>
        <w:rPr>
          <w:lang w:eastAsia="lv-LV"/>
        </w:rPr>
        <w:t>teikumus</w:t>
      </w:r>
      <w:r w:rsidRPr="00623C16">
        <w:rPr>
          <w:lang w:eastAsia="lv-LV"/>
        </w:rPr>
        <w:t>, ir vispārpieejama informācija.</w:t>
      </w:r>
    </w:p>
    <w:p w14:paraId="5AEDF2B7" w14:textId="77777777" w:rsidR="006A5775" w:rsidRDefault="006A5775" w:rsidP="00724F6B">
      <w:pPr>
        <w:pStyle w:val="BodyTextIndent3"/>
        <w:tabs>
          <w:tab w:val="num" w:pos="720"/>
        </w:tabs>
        <w:spacing w:after="120"/>
        <w:ind w:left="720" w:hanging="720"/>
        <w:rPr>
          <w:b/>
          <w:szCs w:val="24"/>
        </w:rPr>
      </w:pPr>
    </w:p>
    <w:p w14:paraId="75854CCA" w14:textId="77777777" w:rsidR="00F110A7" w:rsidRPr="00F9741B" w:rsidRDefault="00451858" w:rsidP="00724F6B">
      <w:pPr>
        <w:pStyle w:val="BodyTextIndent3"/>
        <w:tabs>
          <w:tab w:val="num" w:pos="720"/>
        </w:tabs>
        <w:spacing w:after="120"/>
        <w:ind w:left="720" w:hanging="720"/>
        <w:rPr>
          <w:b/>
          <w:szCs w:val="24"/>
        </w:rPr>
      </w:pPr>
      <w:r w:rsidRPr="00F9741B">
        <w:rPr>
          <w:b/>
          <w:szCs w:val="24"/>
        </w:rPr>
        <w:t>Pielikumā:</w:t>
      </w:r>
    </w:p>
    <w:p w14:paraId="15DFDA52" w14:textId="2DB15979" w:rsidR="00D672C8" w:rsidRDefault="00163F6A" w:rsidP="00724F6B">
      <w:pPr>
        <w:pStyle w:val="BodyTextIndent3"/>
        <w:numPr>
          <w:ilvl w:val="0"/>
          <w:numId w:val="14"/>
        </w:numPr>
        <w:spacing w:after="120"/>
        <w:jc w:val="left"/>
        <w:rPr>
          <w:szCs w:val="24"/>
        </w:rPr>
      </w:pPr>
      <w:r w:rsidRPr="00F9741B">
        <w:rPr>
          <w:szCs w:val="24"/>
        </w:rPr>
        <w:t xml:space="preserve">Pielikums </w:t>
      </w:r>
      <w:r w:rsidR="00D672C8">
        <w:rPr>
          <w:szCs w:val="24"/>
        </w:rPr>
        <w:t>–</w:t>
      </w:r>
      <w:r w:rsidRPr="00F9741B">
        <w:rPr>
          <w:szCs w:val="24"/>
        </w:rPr>
        <w:t xml:space="preserve"> </w:t>
      </w:r>
      <w:r w:rsidR="002B0DEF">
        <w:rPr>
          <w:szCs w:val="24"/>
        </w:rPr>
        <w:t>p</w:t>
      </w:r>
      <w:r w:rsidR="002B0DEF" w:rsidRPr="00F9741B">
        <w:rPr>
          <w:szCs w:val="24"/>
        </w:rPr>
        <w:t>ieteikuma veidlapa</w:t>
      </w:r>
      <w:r w:rsidR="00D672C8">
        <w:rPr>
          <w:szCs w:val="24"/>
        </w:rPr>
        <w:t>;</w:t>
      </w:r>
    </w:p>
    <w:p w14:paraId="47C735DC" w14:textId="6D3F0F23" w:rsidR="00175B76" w:rsidRDefault="00D672C8" w:rsidP="00724F6B">
      <w:pPr>
        <w:pStyle w:val="BodyTextIndent3"/>
        <w:numPr>
          <w:ilvl w:val="0"/>
          <w:numId w:val="14"/>
        </w:numPr>
        <w:spacing w:after="120"/>
        <w:jc w:val="left"/>
        <w:rPr>
          <w:szCs w:val="24"/>
        </w:rPr>
      </w:pPr>
      <w:r>
        <w:rPr>
          <w:szCs w:val="24"/>
        </w:rPr>
        <w:t>Pielikums -</w:t>
      </w:r>
      <w:r w:rsidR="002B0DEF" w:rsidRPr="002B0DEF">
        <w:rPr>
          <w:szCs w:val="24"/>
        </w:rPr>
        <w:t xml:space="preserve"> </w:t>
      </w:r>
      <w:r w:rsidR="002B0DEF">
        <w:rPr>
          <w:szCs w:val="24"/>
        </w:rPr>
        <w:t>vērtēšanas kritēriji un kritēriju vērtēšanas kārtība</w:t>
      </w:r>
      <w:r w:rsidR="002B0DEF" w:rsidRPr="00F9741B">
        <w:rPr>
          <w:szCs w:val="24"/>
        </w:rPr>
        <w:t>;</w:t>
      </w:r>
    </w:p>
    <w:p w14:paraId="406A09FF" w14:textId="4EEBF934" w:rsidR="00703A7B" w:rsidRDefault="00703A7B" w:rsidP="00724F6B">
      <w:pPr>
        <w:pStyle w:val="BodyTextIndent3"/>
        <w:numPr>
          <w:ilvl w:val="0"/>
          <w:numId w:val="14"/>
        </w:numPr>
        <w:spacing w:after="120"/>
        <w:jc w:val="left"/>
        <w:rPr>
          <w:szCs w:val="24"/>
        </w:rPr>
      </w:pPr>
      <w:r>
        <w:rPr>
          <w:szCs w:val="24"/>
        </w:rPr>
        <w:t xml:space="preserve">Pielikums – </w:t>
      </w:r>
      <w:r w:rsidR="00D42666">
        <w:rPr>
          <w:szCs w:val="24"/>
        </w:rPr>
        <w:t>kreditēšanas stratēģija</w:t>
      </w:r>
      <w:r w:rsidR="002F1AD4">
        <w:rPr>
          <w:szCs w:val="24"/>
        </w:rPr>
        <w:t>.</w:t>
      </w:r>
    </w:p>
    <w:p w14:paraId="4DC426B1" w14:textId="679F172C" w:rsidR="00047007" w:rsidRPr="00BA6F87" w:rsidRDefault="00047007" w:rsidP="00724F6B">
      <w:pPr>
        <w:pStyle w:val="BodyTextIndent3"/>
        <w:numPr>
          <w:ilvl w:val="0"/>
          <w:numId w:val="14"/>
        </w:numPr>
        <w:spacing w:after="120"/>
        <w:jc w:val="left"/>
        <w:rPr>
          <w:szCs w:val="24"/>
        </w:rPr>
      </w:pPr>
      <w:r w:rsidRPr="00BA6F87">
        <w:rPr>
          <w:szCs w:val="24"/>
        </w:rPr>
        <w:t>Pielikums - Līguma projekts</w:t>
      </w:r>
    </w:p>
    <w:sectPr w:rsidR="00047007" w:rsidRPr="00BA6F87" w:rsidSect="00753158">
      <w:headerReference w:type="even" r:id="rId11"/>
      <w:headerReference w:type="default" r:id="rId12"/>
      <w:footerReference w:type="even" r:id="rId13"/>
      <w:footerReference w:type="default" r:id="rId14"/>
      <w:headerReference w:type="first" r:id="rId15"/>
      <w:pgSz w:w="11907" w:h="16840" w:code="9"/>
      <w:pgMar w:top="1134" w:right="1134" w:bottom="1134"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6CCA1A" w14:textId="77777777" w:rsidR="00DA50CE" w:rsidRDefault="00DA50CE">
      <w:r>
        <w:separator/>
      </w:r>
    </w:p>
  </w:endnote>
  <w:endnote w:type="continuationSeparator" w:id="0">
    <w:p w14:paraId="16EE60E0" w14:textId="77777777" w:rsidR="00DA50CE" w:rsidRDefault="00DA5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RimTimes">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FEAD1" w14:textId="77777777" w:rsidR="00DA50CE" w:rsidRDefault="00DA50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31058B3" w14:textId="77777777" w:rsidR="00DA50CE" w:rsidRDefault="00DA50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2426992"/>
      <w:docPartObj>
        <w:docPartGallery w:val="Page Numbers (Bottom of Page)"/>
        <w:docPartUnique/>
      </w:docPartObj>
    </w:sdtPr>
    <w:sdtEndPr>
      <w:rPr>
        <w:noProof/>
      </w:rPr>
    </w:sdtEndPr>
    <w:sdtContent>
      <w:p w14:paraId="2C29331E" w14:textId="21822378" w:rsidR="00DA50CE" w:rsidRDefault="00DA50CE">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14:paraId="439AC49D" w14:textId="77777777" w:rsidR="00DA50CE" w:rsidRDefault="00DA50CE" w:rsidP="009B4942">
    <w:pPr>
      <w:pStyle w:val="Footer"/>
      <w:ind w:right="35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4752FD" w14:textId="77777777" w:rsidR="00DA50CE" w:rsidRDefault="00DA50CE">
      <w:r>
        <w:separator/>
      </w:r>
    </w:p>
  </w:footnote>
  <w:footnote w:type="continuationSeparator" w:id="0">
    <w:p w14:paraId="3D82DFFF" w14:textId="77777777" w:rsidR="00DA50CE" w:rsidRDefault="00DA50CE">
      <w:r>
        <w:continuationSeparator/>
      </w:r>
    </w:p>
  </w:footnote>
  <w:footnote w:id="1">
    <w:p w14:paraId="49A807CA" w14:textId="77777777" w:rsidR="00DA50CE" w:rsidRPr="00D672C8" w:rsidRDefault="00DA50CE" w:rsidP="00466C8D">
      <w:pPr>
        <w:pStyle w:val="FootnoteText"/>
        <w:jc w:val="both"/>
        <w:rPr>
          <w:sz w:val="18"/>
          <w:szCs w:val="18"/>
        </w:rPr>
      </w:pPr>
      <w:r w:rsidRPr="00D672C8">
        <w:rPr>
          <w:rStyle w:val="FootnoteReference"/>
          <w:sz w:val="18"/>
          <w:szCs w:val="18"/>
        </w:rPr>
        <w:footnoteRef/>
      </w:r>
      <w:r w:rsidRPr="00D672C8">
        <w:rPr>
          <w:sz w:val="18"/>
          <w:szCs w:val="18"/>
        </w:rPr>
        <w:t xml:space="preserve"> Komersanti, kuri atbilst Komisijas 2014.gada 17.jūnija Regulas (ES) Nr.651/2014, ar ko noteiktas atbalsta kategorijas atzīst par saderīgām ar iekšējo tirgu, piemērojot Līguma 107. un 108. pantu (turpmāk – Komisijas regula Nr.651/2014) (Eiropas Savienības Oficiālais Vēstnesis, 2014.gada 26.jūnijs, Nr. L 187), 1.pielikumā noteiktajām definīcijām</w:t>
      </w:r>
    </w:p>
  </w:footnote>
  <w:footnote w:id="2">
    <w:p w14:paraId="347E1407" w14:textId="0F3BF2BE" w:rsidR="00DA50CE" w:rsidRPr="00D8354F" w:rsidRDefault="00DA50CE" w:rsidP="00D8354F">
      <w:pPr>
        <w:pStyle w:val="FootnoteText"/>
        <w:jc w:val="both"/>
        <w:rPr>
          <w:sz w:val="18"/>
          <w:szCs w:val="18"/>
        </w:rPr>
      </w:pPr>
      <w:r>
        <w:rPr>
          <w:rStyle w:val="FootnoteReference"/>
        </w:rPr>
        <w:footnoteRef/>
      </w:r>
      <w:r>
        <w:t xml:space="preserve"> </w:t>
      </w:r>
      <w:r w:rsidRPr="00D8354F">
        <w:rPr>
          <w:sz w:val="18"/>
          <w:szCs w:val="18"/>
        </w:rPr>
        <w:t xml:space="preserve">Sabiedrības Altum izstrādāts palīgmateriāls  MVK statusa noteikšanai pieejams:   - </w:t>
      </w:r>
      <w:hyperlink r:id="rId1" w:history="1">
        <w:r w:rsidRPr="00D8354F">
          <w:rPr>
            <w:rStyle w:val="Hyperlink"/>
            <w:sz w:val="18"/>
            <w:szCs w:val="18"/>
          </w:rPr>
          <w:t>www.altum.lv/files/mvu_paligmaterials_v1_3.pdf</w:t>
        </w:r>
      </w:hyperlink>
      <w:r w:rsidRPr="00D8354F">
        <w:rPr>
          <w:sz w:val="18"/>
          <w:szCs w:val="18"/>
        </w:rPr>
        <w:t xml:space="preserve">  CFLA palīgmateriāls - </w:t>
      </w:r>
      <w:hyperlink r:id="rId2" w:history="1">
        <w:r w:rsidRPr="00D8354F">
          <w:rPr>
            <w:rStyle w:val="Hyperlink"/>
            <w:sz w:val="18"/>
            <w:szCs w:val="18"/>
          </w:rPr>
          <w:t>http://www.cfla.gov.lv/userfiles/files/Informativais%20materials%20par%20MVU%20un%20GNU%20statusa%20noteiksanu.pdf</w:t>
        </w:r>
      </w:hyperlink>
      <w:r w:rsidRPr="00D8354F">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32C0D" w14:textId="77777777" w:rsidR="00DA50CE" w:rsidRDefault="00DA50CE" w:rsidP="00B25B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B1DDB25" w14:textId="77777777" w:rsidR="00DA50CE" w:rsidRDefault="00DA50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CC15B" w14:textId="20CE592D" w:rsidR="00DA50CE" w:rsidRPr="00C7084D" w:rsidRDefault="00DA50CE" w:rsidP="002F1AD4">
    <w:pPr>
      <w:pStyle w:val="Header"/>
      <w:tabs>
        <w:tab w:val="left" w:pos="6039"/>
        <w:tab w:val="right" w:pos="9072"/>
      </w:tabs>
      <w:jc w:val="right"/>
      <w:rPr>
        <w:rFonts w:asciiTheme="minorHAnsi" w:hAnsiTheme="minorHAnsi"/>
        <w:i/>
        <w:color w:val="808080" w:themeColor="background1" w:themeShade="80"/>
      </w:rPr>
    </w:pPr>
    <w:r w:rsidRPr="00C7084D">
      <w:rPr>
        <w:rFonts w:asciiTheme="minorHAnsi" w:hAnsiTheme="minorHAnsi"/>
        <w:i/>
        <w:color w:val="808080" w:themeColor="background1" w:themeShade="80"/>
      </w:rPr>
      <w:t xml:space="preserve">Projekts </w:t>
    </w:r>
    <w:r>
      <w:rPr>
        <w:rFonts w:asciiTheme="minorHAnsi" w:hAnsiTheme="minorHAnsi"/>
        <w:i/>
        <w:color w:val="808080" w:themeColor="background1" w:themeShade="80"/>
      </w:rPr>
      <w:t>31</w:t>
    </w:r>
    <w:r w:rsidRPr="00C7084D">
      <w:rPr>
        <w:rFonts w:asciiTheme="minorHAnsi" w:hAnsiTheme="minorHAnsi"/>
        <w:i/>
        <w:color w:val="808080" w:themeColor="background1" w:themeShade="80"/>
      </w:rPr>
      <w:t>.</w:t>
    </w:r>
    <w:r>
      <w:rPr>
        <w:rFonts w:asciiTheme="minorHAnsi" w:hAnsiTheme="minorHAnsi"/>
        <w:i/>
        <w:color w:val="808080" w:themeColor="background1" w:themeShade="80"/>
      </w:rPr>
      <w:t>07</w:t>
    </w:r>
    <w:r w:rsidRPr="00C7084D">
      <w:rPr>
        <w:rFonts w:asciiTheme="minorHAnsi" w:hAnsiTheme="minorHAnsi"/>
        <w:i/>
        <w:color w:val="808080" w:themeColor="background1" w:themeShade="80"/>
      </w:rPr>
      <w:t>.201</w:t>
    </w:r>
    <w:r>
      <w:rPr>
        <w:rFonts w:asciiTheme="minorHAnsi" w:hAnsiTheme="minorHAnsi"/>
        <w:i/>
        <w:color w:val="808080" w:themeColor="background1" w:themeShade="80"/>
      </w:rPr>
      <w:t>9</w:t>
    </w:r>
    <w:r w:rsidRPr="00C7084D">
      <w:rPr>
        <w:rFonts w:asciiTheme="minorHAnsi" w:hAnsiTheme="minorHAnsi"/>
        <w:i/>
        <w:color w:val="808080" w:themeColor="background1" w:themeShade="80"/>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E04D8" w14:textId="06EB9D7E" w:rsidR="00DA50CE" w:rsidRPr="003A093E" w:rsidRDefault="00DA50CE" w:rsidP="0053447D">
    <w:pPr>
      <w:pStyle w:val="Header"/>
      <w:tabs>
        <w:tab w:val="left" w:pos="6039"/>
        <w:tab w:val="right" w:pos="9072"/>
      </w:tabs>
      <w:rPr>
        <w:rFonts w:asciiTheme="minorHAnsi" w:hAnsiTheme="minorHAnsi"/>
        <w:color w:val="BFBFBF" w:themeColor="background1" w:themeShade="BF"/>
      </w:rPr>
    </w:pPr>
    <w:r>
      <w:rPr>
        <w:rFonts w:asciiTheme="minorHAnsi" w:hAnsiTheme="minorHAnsi"/>
        <w:i/>
        <w:color w:val="BFBFBF" w:themeColor="background1" w:themeShade="BF"/>
      </w:rPr>
      <w:tab/>
    </w:r>
    <w:r>
      <w:rPr>
        <w:rFonts w:asciiTheme="minorHAnsi" w:hAnsiTheme="minorHAnsi"/>
        <w:i/>
        <w:color w:val="BFBFBF" w:themeColor="background1" w:themeShade="B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7A10372E"/>
    <w:name w:val="WW8Num1"/>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1.%2."/>
      <w:lvlJc w:val="left"/>
      <w:pPr>
        <w:tabs>
          <w:tab w:val="num" w:pos="990"/>
        </w:tabs>
        <w:ind w:left="990" w:hanging="630"/>
      </w:pPr>
      <w:rPr>
        <w:color w:val="auto"/>
      </w:r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1FB36B0"/>
    <w:multiLevelType w:val="hybridMultilevel"/>
    <w:tmpl w:val="7C4C0F1C"/>
    <w:lvl w:ilvl="0" w:tplc="0674FFA2">
      <w:start w:val="2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2D67032"/>
    <w:multiLevelType w:val="multilevel"/>
    <w:tmpl w:val="FB5A4DB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CF30499"/>
    <w:multiLevelType w:val="hybridMultilevel"/>
    <w:tmpl w:val="1174007C"/>
    <w:lvl w:ilvl="0" w:tplc="04260001">
      <w:start w:val="1"/>
      <w:numFmt w:val="bullet"/>
      <w:lvlText w:val=""/>
      <w:lvlJc w:val="left"/>
      <w:pPr>
        <w:tabs>
          <w:tab w:val="num" w:pos="1260"/>
        </w:tabs>
        <w:ind w:left="1260" w:hanging="360"/>
      </w:pPr>
      <w:rPr>
        <w:rFonts w:ascii="Symbol" w:hAnsi="Symbol" w:hint="default"/>
      </w:rPr>
    </w:lvl>
    <w:lvl w:ilvl="1" w:tplc="04260003" w:tentative="1">
      <w:start w:val="1"/>
      <w:numFmt w:val="bullet"/>
      <w:lvlText w:val="o"/>
      <w:lvlJc w:val="left"/>
      <w:pPr>
        <w:tabs>
          <w:tab w:val="num" w:pos="1980"/>
        </w:tabs>
        <w:ind w:left="1980" w:hanging="360"/>
      </w:pPr>
      <w:rPr>
        <w:rFonts w:ascii="Courier New" w:hAnsi="Courier New" w:cs="Courier New" w:hint="default"/>
      </w:rPr>
    </w:lvl>
    <w:lvl w:ilvl="2" w:tplc="04260005" w:tentative="1">
      <w:start w:val="1"/>
      <w:numFmt w:val="bullet"/>
      <w:lvlText w:val=""/>
      <w:lvlJc w:val="left"/>
      <w:pPr>
        <w:tabs>
          <w:tab w:val="num" w:pos="2700"/>
        </w:tabs>
        <w:ind w:left="2700" w:hanging="360"/>
      </w:pPr>
      <w:rPr>
        <w:rFonts w:ascii="Wingdings" w:hAnsi="Wingdings" w:hint="default"/>
      </w:rPr>
    </w:lvl>
    <w:lvl w:ilvl="3" w:tplc="04260001" w:tentative="1">
      <w:start w:val="1"/>
      <w:numFmt w:val="bullet"/>
      <w:lvlText w:val=""/>
      <w:lvlJc w:val="left"/>
      <w:pPr>
        <w:tabs>
          <w:tab w:val="num" w:pos="3420"/>
        </w:tabs>
        <w:ind w:left="3420" w:hanging="360"/>
      </w:pPr>
      <w:rPr>
        <w:rFonts w:ascii="Symbol" w:hAnsi="Symbol" w:hint="default"/>
      </w:rPr>
    </w:lvl>
    <w:lvl w:ilvl="4" w:tplc="04260003" w:tentative="1">
      <w:start w:val="1"/>
      <w:numFmt w:val="bullet"/>
      <w:lvlText w:val="o"/>
      <w:lvlJc w:val="left"/>
      <w:pPr>
        <w:tabs>
          <w:tab w:val="num" w:pos="4140"/>
        </w:tabs>
        <w:ind w:left="4140" w:hanging="360"/>
      </w:pPr>
      <w:rPr>
        <w:rFonts w:ascii="Courier New" w:hAnsi="Courier New" w:cs="Courier New" w:hint="default"/>
      </w:rPr>
    </w:lvl>
    <w:lvl w:ilvl="5" w:tplc="04260005" w:tentative="1">
      <w:start w:val="1"/>
      <w:numFmt w:val="bullet"/>
      <w:lvlText w:val=""/>
      <w:lvlJc w:val="left"/>
      <w:pPr>
        <w:tabs>
          <w:tab w:val="num" w:pos="4860"/>
        </w:tabs>
        <w:ind w:left="4860" w:hanging="360"/>
      </w:pPr>
      <w:rPr>
        <w:rFonts w:ascii="Wingdings" w:hAnsi="Wingdings" w:hint="default"/>
      </w:rPr>
    </w:lvl>
    <w:lvl w:ilvl="6" w:tplc="04260001" w:tentative="1">
      <w:start w:val="1"/>
      <w:numFmt w:val="bullet"/>
      <w:lvlText w:val=""/>
      <w:lvlJc w:val="left"/>
      <w:pPr>
        <w:tabs>
          <w:tab w:val="num" w:pos="5580"/>
        </w:tabs>
        <w:ind w:left="5580" w:hanging="360"/>
      </w:pPr>
      <w:rPr>
        <w:rFonts w:ascii="Symbol" w:hAnsi="Symbol" w:hint="default"/>
      </w:rPr>
    </w:lvl>
    <w:lvl w:ilvl="7" w:tplc="04260003" w:tentative="1">
      <w:start w:val="1"/>
      <w:numFmt w:val="bullet"/>
      <w:lvlText w:val="o"/>
      <w:lvlJc w:val="left"/>
      <w:pPr>
        <w:tabs>
          <w:tab w:val="num" w:pos="6300"/>
        </w:tabs>
        <w:ind w:left="6300" w:hanging="360"/>
      </w:pPr>
      <w:rPr>
        <w:rFonts w:ascii="Courier New" w:hAnsi="Courier New" w:cs="Courier New" w:hint="default"/>
      </w:rPr>
    </w:lvl>
    <w:lvl w:ilvl="8" w:tplc="0426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F7E790C"/>
    <w:multiLevelType w:val="hybridMultilevel"/>
    <w:tmpl w:val="4A945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B71FD"/>
    <w:multiLevelType w:val="hybridMultilevel"/>
    <w:tmpl w:val="4A945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50626B"/>
    <w:multiLevelType w:val="multilevel"/>
    <w:tmpl w:val="26329B2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1260"/>
        </w:tabs>
        <w:ind w:left="1260" w:hanging="720"/>
      </w:pPr>
      <w:rPr>
        <w:rFonts w:hint="default"/>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4F07B56"/>
    <w:multiLevelType w:val="hybridMultilevel"/>
    <w:tmpl w:val="F08EF63E"/>
    <w:lvl w:ilvl="0" w:tplc="84D6A380">
      <w:start w:val="2"/>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8" w15:restartNumberingAfterBreak="0">
    <w:nsid w:val="1DB437E4"/>
    <w:multiLevelType w:val="hybridMultilevel"/>
    <w:tmpl w:val="297858D8"/>
    <w:lvl w:ilvl="0" w:tplc="B934B1A2">
      <w:start w:val="1"/>
      <w:numFmt w:val="decimal"/>
      <w:lvlText w:val="%1."/>
      <w:lvlJc w:val="left"/>
      <w:pPr>
        <w:tabs>
          <w:tab w:val="num" w:pos="3240"/>
        </w:tabs>
        <w:ind w:left="3240" w:hanging="360"/>
      </w:pPr>
      <w:rPr>
        <w:rFonts w:hint="default"/>
        <w:b/>
      </w:rPr>
    </w:lvl>
    <w:lvl w:ilvl="1" w:tplc="04260019" w:tentative="1">
      <w:start w:val="1"/>
      <w:numFmt w:val="lowerLetter"/>
      <w:lvlText w:val="%2."/>
      <w:lvlJc w:val="left"/>
      <w:pPr>
        <w:tabs>
          <w:tab w:val="num" w:pos="3960"/>
        </w:tabs>
        <w:ind w:left="3960" w:hanging="360"/>
      </w:pPr>
    </w:lvl>
    <w:lvl w:ilvl="2" w:tplc="0426001B" w:tentative="1">
      <w:start w:val="1"/>
      <w:numFmt w:val="lowerRoman"/>
      <w:lvlText w:val="%3."/>
      <w:lvlJc w:val="right"/>
      <w:pPr>
        <w:tabs>
          <w:tab w:val="num" w:pos="4680"/>
        </w:tabs>
        <w:ind w:left="4680" w:hanging="180"/>
      </w:pPr>
    </w:lvl>
    <w:lvl w:ilvl="3" w:tplc="0426000F" w:tentative="1">
      <w:start w:val="1"/>
      <w:numFmt w:val="decimal"/>
      <w:lvlText w:val="%4."/>
      <w:lvlJc w:val="left"/>
      <w:pPr>
        <w:tabs>
          <w:tab w:val="num" w:pos="5400"/>
        </w:tabs>
        <w:ind w:left="5400" w:hanging="360"/>
      </w:pPr>
    </w:lvl>
    <w:lvl w:ilvl="4" w:tplc="04260019" w:tentative="1">
      <w:start w:val="1"/>
      <w:numFmt w:val="lowerLetter"/>
      <w:lvlText w:val="%5."/>
      <w:lvlJc w:val="left"/>
      <w:pPr>
        <w:tabs>
          <w:tab w:val="num" w:pos="6120"/>
        </w:tabs>
        <w:ind w:left="6120" w:hanging="360"/>
      </w:pPr>
    </w:lvl>
    <w:lvl w:ilvl="5" w:tplc="0426001B" w:tentative="1">
      <w:start w:val="1"/>
      <w:numFmt w:val="lowerRoman"/>
      <w:lvlText w:val="%6."/>
      <w:lvlJc w:val="right"/>
      <w:pPr>
        <w:tabs>
          <w:tab w:val="num" w:pos="6840"/>
        </w:tabs>
        <w:ind w:left="6840" w:hanging="180"/>
      </w:pPr>
    </w:lvl>
    <w:lvl w:ilvl="6" w:tplc="0426000F" w:tentative="1">
      <w:start w:val="1"/>
      <w:numFmt w:val="decimal"/>
      <w:lvlText w:val="%7."/>
      <w:lvlJc w:val="left"/>
      <w:pPr>
        <w:tabs>
          <w:tab w:val="num" w:pos="7560"/>
        </w:tabs>
        <w:ind w:left="7560" w:hanging="360"/>
      </w:pPr>
    </w:lvl>
    <w:lvl w:ilvl="7" w:tplc="04260019" w:tentative="1">
      <w:start w:val="1"/>
      <w:numFmt w:val="lowerLetter"/>
      <w:lvlText w:val="%8."/>
      <w:lvlJc w:val="left"/>
      <w:pPr>
        <w:tabs>
          <w:tab w:val="num" w:pos="8280"/>
        </w:tabs>
        <w:ind w:left="8280" w:hanging="360"/>
      </w:pPr>
    </w:lvl>
    <w:lvl w:ilvl="8" w:tplc="0426001B" w:tentative="1">
      <w:start w:val="1"/>
      <w:numFmt w:val="lowerRoman"/>
      <w:lvlText w:val="%9."/>
      <w:lvlJc w:val="right"/>
      <w:pPr>
        <w:tabs>
          <w:tab w:val="num" w:pos="9000"/>
        </w:tabs>
        <w:ind w:left="9000" w:hanging="180"/>
      </w:pPr>
    </w:lvl>
  </w:abstractNum>
  <w:abstractNum w:abstractNumId="9" w15:restartNumberingAfterBreak="0">
    <w:nsid w:val="2AA23EAA"/>
    <w:multiLevelType w:val="multilevel"/>
    <w:tmpl w:val="EEE8CA74"/>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2B7D1D02"/>
    <w:multiLevelType w:val="hybridMultilevel"/>
    <w:tmpl w:val="3E9A1400"/>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1" w15:restartNumberingAfterBreak="0">
    <w:nsid w:val="3180295B"/>
    <w:multiLevelType w:val="hybridMultilevel"/>
    <w:tmpl w:val="6DA86212"/>
    <w:lvl w:ilvl="0" w:tplc="4EE400E4">
      <w:start w:val="4"/>
      <w:numFmt w:val="bullet"/>
      <w:lvlText w:val="-"/>
      <w:lvlJc w:val="left"/>
      <w:pPr>
        <w:ind w:left="720" w:hanging="360"/>
      </w:pPr>
      <w:rPr>
        <w:rFonts w:ascii="Times New Roman" w:eastAsiaTheme="minorHAns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34AB45A8"/>
    <w:multiLevelType w:val="multilevel"/>
    <w:tmpl w:val="F828D0AE"/>
    <w:lvl w:ilvl="0">
      <w:start w:val="7"/>
      <w:numFmt w:val="decimal"/>
      <w:lvlText w:val="%1."/>
      <w:lvlJc w:val="left"/>
      <w:pPr>
        <w:ind w:left="3240" w:hanging="360"/>
      </w:pPr>
      <w:rPr>
        <w:rFonts w:ascii="Times New Roman" w:hAnsi="Times New Roman" w:hint="default"/>
        <w:b/>
        <w:i w:val="0"/>
        <w:sz w:val="22"/>
        <w:u w:val="none"/>
      </w:rPr>
    </w:lvl>
    <w:lvl w:ilvl="1" w:tentative="1">
      <w:start w:val="1"/>
      <w:numFmt w:val="lowerLetter"/>
      <w:lvlText w:val="%2."/>
      <w:lvlJc w:val="left"/>
      <w:pPr>
        <w:tabs>
          <w:tab w:val="num" w:pos="3960"/>
        </w:tabs>
        <w:ind w:left="3960" w:hanging="360"/>
      </w:pPr>
    </w:lvl>
    <w:lvl w:ilvl="2" w:tentative="1">
      <w:start w:val="1"/>
      <w:numFmt w:val="lowerRoman"/>
      <w:lvlText w:val="%3."/>
      <w:lvlJc w:val="right"/>
      <w:pPr>
        <w:tabs>
          <w:tab w:val="num" w:pos="4680"/>
        </w:tabs>
        <w:ind w:left="4680" w:hanging="180"/>
      </w:pPr>
    </w:lvl>
    <w:lvl w:ilvl="3" w:tentative="1">
      <w:start w:val="1"/>
      <w:numFmt w:val="decimal"/>
      <w:lvlText w:val="%4."/>
      <w:lvlJc w:val="left"/>
      <w:pPr>
        <w:tabs>
          <w:tab w:val="num" w:pos="5400"/>
        </w:tabs>
        <w:ind w:left="5400" w:hanging="360"/>
      </w:pPr>
    </w:lvl>
    <w:lvl w:ilvl="4" w:tentative="1">
      <w:start w:val="1"/>
      <w:numFmt w:val="lowerLetter"/>
      <w:lvlText w:val="%5."/>
      <w:lvlJc w:val="left"/>
      <w:pPr>
        <w:tabs>
          <w:tab w:val="num" w:pos="6120"/>
        </w:tabs>
        <w:ind w:left="6120" w:hanging="360"/>
      </w:pPr>
    </w:lvl>
    <w:lvl w:ilvl="5" w:tentative="1">
      <w:start w:val="1"/>
      <w:numFmt w:val="lowerRoman"/>
      <w:lvlText w:val="%6."/>
      <w:lvlJc w:val="right"/>
      <w:pPr>
        <w:tabs>
          <w:tab w:val="num" w:pos="6840"/>
        </w:tabs>
        <w:ind w:left="6840" w:hanging="180"/>
      </w:pPr>
    </w:lvl>
    <w:lvl w:ilvl="6" w:tentative="1">
      <w:start w:val="1"/>
      <w:numFmt w:val="decimal"/>
      <w:lvlText w:val="%7."/>
      <w:lvlJc w:val="left"/>
      <w:pPr>
        <w:tabs>
          <w:tab w:val="num" w:pos="7560"/>
        </w:tabs>
        <w:ind w:left="7560" w:hanging="360"/>
      </w:pPr>
    </w:lvl>
    <w:lvl w:ilvl="7" w:tentative="1">
      <w:start w:val="1"/>
      <w:numFmt w:val="lowerLetter"/>
      <w:lvlText w:val="%8."/>
      <w:lvlJc w:val="left"/>
      <w:pPr>
        <w:tabs>
          <w:tab w:val="num" w:pos="8280"/>
        </w:tabs>
        <w:ind w:left="8280" w:hanging="360"/>
      </w:pPr>
    </w:lvl>
    <w:lvl w:ilvl="8" w:tentative="1">
      <w:start w:val="1"/>
      <w:numFmt w:val="lowerRoman"/>
      <w:lvlText w:val="%9."/>
      <w:lvlJc w:val="right"/>
      <w:pPr>
        <w:tabs>
          <w:tab w:val="num" w:pos="9000"/>
        </w:tabs>
        <w:ind w:left="9000" w:hanging="180"/>
      </w:pPr>
    </w:lvl>
  </w:abstractNum>
  <w:abstractNum w:abstractNumId="13" w15:restartNumberingAfterBreak="0">
    <w:nsid w:val="4311243E"/>
    <w:multiLevelType w:val="multilevel"/>
    <w:tmpl w:val="15DE2A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9DE2008"/>
    <w:multiLevelType w:val="hybridMultilevel"/>
    <w:tmpl w:val="4A945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2F0B5B"/>
    <w:multiLevelType w:val="multilevel"/>
    <w:tmpl w:val="AB5ED9CA"/>
    <w:lvl w:ilvl="0">
      <w:start w:val="7"/>
      <w:numFmt w:val="decimal"/>
      <w:lvlText w:val="%1."/>
      <w:lvlJc w:val="left"/>
      <w:pPr>
        <w:ind w:left="480" w:hanging="480"/>
      </w:pPr>
      <w:rPr>
        <w:rFonts w:hint="default"/>
      </w:rPr>
    </w:lvl>
    <w:lvl w:ilvl="1">
      <w:start w:val="12"/>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6" w15:restartNumberingAfterBreak="0">
    <w:nsid w:val="53E96AEA"/>
    <w:multiLevelType w:val="hybridMultilevel"/>
    <w:tmpl w:val="73BA0C88"/>
    <w:lvl w:ilvl="0" w:tplc="965608FE">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7" w15:restartNumberingAfterBreak="0">
    <w:nsid w:val="61513622"/>
    <w:multiLevelType w:val="hybridMultilevel"/>
    <w:tmpl w:val="024C8280"/>
    <w:lvl w:ilvl="0" w:tplc="4BD46048">
      <w:start w:val="1"/>
      <w:numFmt w:val="lowerLetter"/>
      <w:lvlText w:val="(%1)"/>
      <w:lvlJc w:val="left"/>
      <w:pPr>
        <w:ind w:left="2160" w:hanging="360"/>
      </w:pPr>
      <w:rPr>
        <w:rFonts w:hint="default"/>
      </w:r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18" w15:restartNumberingAfterBreak="0">
    <w:nsid w:val="6842701C"/>
    <w:multiLevelType w:val="multilevel"/>
    <w:tmpl w:val="DF3A47F8"/>
    <w:lvl w:ilvl="0">
      <w:start w:val="5"/>
      <w:numFmt w:val="decimal"/>
      <w:lvlText w:val="%1."/>
      <w:lvlJc w:val="left"/>
      <w:pPr>
        <w:tabs>
          <w:tab w:val="num" w:pos="3240"/>
        </w:tabs>
        <w:ind w:left="3240" w:hanging="360"/>
      </w:pPr>
      <w:rPr>
        <w:rFonts w:hint="default"/>
      </w:rPr>
    </w:lvl>
    <w:lvl w:ilvl="1">
      <w:start w:val="3"/>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960"/>
        </w:tabs>
        <w:ind w:left="3960" w:hanging="1080"/>
      </w:pPr>
      <w:rPr>
        <w:rFonts w:hint="default"/>
      </w:rPr>
    </w:lvl>
    <w:lvl w:ilvl="3">
      <w:start w:val="1"/>
      <w:numFmt w:val="decimal"/>
      <w:isLgl/>
      <w:lvlText w:val="%1.%2.%3.%4."/>
      <w:lvlJc w:val="left"/>
      <w:pPr>
        <w:tabs>
          <w:tab w:val="num" w:pos="3960"/>
        </w:tabs>
        <w:ind w:left="3960" w:hanging="1080"/>
      </w:pPr>
      <w:rPr>
        <w:rFonts w:hint="default"/>
      </w:rPr>
    </w:lvl>
    <w:lvl w:ilvl="4">
      <w:start w:val="1"/>
      <w:numFmt w:val="decimal"/>
      <w:isLgl/>
      <w:lvlText w:val="%1.%2.%3.%4.%5."/>
      <w:lvlJc w:val="left"/>
      <w:pPr>
        <w:tabs>
          <w:tab w:val="num" w:pos="4320"/>
        </w:tabs>
        <w:ind w:left="4320" w:hanging="1440"/>
      </w:pPr>
      <w:rPr>
        <w:rFonts w:hint="default"/>
      </w:rPr>
    </w:lvl>
    <w:lvl w:ilvl="5">
      <w:start w:val="1"/>
      <w:numFmt w:val="decimal"/>
      <w:isLgl/>
      <w:lvlText w:val="%1.%2.%3.%4.%5.%6."/>
      <w:lvlJc w:val="left"/>
      <w:pPr>
        <w:tabs>
          <w:tab w:val="num" w:pos="4680"/>
        </w:tabs>
        <w:ind w:left="4680" w:hanging="1800"/>
      </w:pPr>
      <w:rPr>
        <w:rFonts w:hint="default"/>
      </w:rPr>
    </w:lvl>
    <w:lvl w:ilvl="6">
      <w:start w:val="1"/>
      <w:numFmt w:val="decimal"/>
      <w:isLgl/>
      <w:lvlText w:val="%1.%2.%3.%4.%5.%6.%7."/>
      <w:lvlJc w:val="left"/>
      <w:pPr>
        <w:tabs>
          <w:tab w:val="num" w:pos="5040"/>
        </w:tabs>
        <w:ind w:left="5040" w:hanging="2160"/>
      </w:pPr>
      <w:rPr>
        <w:rFonts w:hint="default"/>
      </w:rPr>
    </w:lvl>
    <w:lvl w:ilvl="7">
      <w:start w:val="1"/>
      <w:numFmt w:val="decimal"/>
      <w:isLgl/>
      <w:lvlText w:val="%1.%2.%3.%4.%5.%6.%7.%8."/>
      <w:lvlJc w:val="left"/>
      <w:pPr>
        <w:tabs>
          <w:tab w:val="num" w:pos="5040"/>
        </w:tabs>
        <w:ind w:left="5040" w:hanging="2160"/>
      </w:pPr>
      <w:rPr>
        <w:rFonts w:hint="default"/>
      </w:rPr>
    </w:lvl>
    <w:lvl w:ilvl="8">
      <w:start w:val="1"/>
      <w:numFmt w:val="decimal"/>
      <w:isLgl/>
      <w:lvlText w:val="%1.%2.%3.%4.%5.%6.%7.%8.%9."/>
      <w:lvlJc w:val="left"/>
      <w:pPr>
        <w:tabs>
          <w:tab w:val="num" w:pos="5400"/>
        </w:tabs>
        <w:ind w:left="5400" w:hanging="2520"/>
      </w:pPr>
      <w:rPr>
        <w:rFonts w:hint="default"/>
      </w:rPr>
    </w:lvl>
  </w:abstractNum>
  <w:abstractNum w:abstractNumId="19" w15:restartNumberingAfterBreak="0">
    <w:nsid w:val="72962CCD"/>
    <w:multiLevelType w:val="hybridMultilevel"/>
    <w:tmpl w:val="A3324E3C"/>
    <w:lvl w:ilvl="0" w:tplc="04260001">
      <w:start w:val="1"/>
      <w:numFmt w:val="bullet"/>
      <w:lvlText w:val=""/>
      <w:lvlJc w:val="left"/>
      <w:pPr>
        <w:tabs>
          <w:tab w:val="num" w:pos="1260"/>
        </w:tabs>
        <w:ind w:left="1260" w:hanging="360"/>
      </w:pPr>
      <w:rPr>
        <w:rFonts w:ascii="Symbol" w:hAnsi="Symbol" w:hint="default"/>
      </w:rPr>
    </w:lvl>
    <w:lvl w:ilvl="1" w:tplc="04260003" w:tentative="1">
      <w:start w:val="1"/>
      <w:numFmt w:val="bullet"/>
      <w:lvlText w:val="o"/>
      <w:lvlJc w:val="left"/>
      <w:pPr>
        <w:tabs>
          <w:tab w:val="num" w:pos="1980"/>
        </w:tabs>
        <w:ind w:left="1980" w:hanging="360"/>
      </w:pPr>
      <w:rPr>
        <w:rFonts w:ascii="Courier New" w:hAnsi="Courier New" w:cs="Courier New" w:hint="default"/>
      </w:rPr>
    </w:lvl>
    <w:lvl w:ilvl="2" w:tplc="04260005" w:tentative="1">
      <w:start w:val="1"/>
      <w:numFmt w:val="bullet"/>
      <w:lvlText w:val=""/>
      <w:lvlJc w:val="left"/>
      <w:pPr>
        <w:tabs>
          <w:tab w:val="num" w:pos="2700"/>
        </w:tabs>
        <w:ind w:left="2700" w:hanging="360"/>
      </w:pPr>
      <w:rPr>
        <w:rFonts w:ascii="Wingdings" w:hAnsi="Wingdings" w:hint="default"/>
      </w:rPr>
    </w:lvl>
    <w:lvl w:ilvl="3" w:tplc="04260001" w:tentative="1">
      <w:start w:val="1"/>
      <w:numFmt w:val="bullet"/>
      <w:lvlText w:val=""/>
      <w:lvlJc w:val="left"/>
      <w:pPr>
        <w:tabs>
          <w:tab w:val="num" w:pos="3420"/>
        </w:tabs>
        <w:ind w:left="3420" w:hanging="360"/>
      </w:pPr>
      <w:rPr>
        <w:rFonts w:ascii="Symbol" w:hAnsi="Symbol" w:hint="default"/>
      </w:rPr>
    </w:lvl>
    <w:lvl w:ilvl="4" w:tplc="04260003" w:tentative="1">
      <w:start w:val="1"/>
      <w:numFmt w:val="bullet"/>
      <w:lvlText w:val="o"/>
      <w:lvlJc w:val="left"/>
      <w:pPr>
        <w:tabs>
          <w:tab w:val="num" w:pos="4140"/>
        </w:tabs>
        <w:ind w:left="4140" w:hanging="360"/>
      </w:pPr>
      <w:rPr>
        <w:rFonts w:ascii="Courier New" w:hAnsi="Courier New" w:cs="Courier New" w:hint="default"/>
      </w:rPr>
    </w:lvl>
    <w:lvl w:ilvl="5" w:tplc="04260005" w:tentative="1">
      <w:start w:val="1"/>
      <w:numFmt w:val="bullet"/>
      <w:lvlText w:val=""/>
      <w:lvlJc w:val="left"/>
      <w:pPr>
        <w:tabs>
          <w:tab w:val="num" w:pos="4860"/>
        </w:tabs>
        <w:ind w:left="4860" w:hanging="360"/>
      </w:pPr>
      <w:rPr>
        <w:rFonts w:ascii="Wingdings" w:hAnsi="Wingdings" w:hint="default"/>
      </w:rPr>
    </w:lvl>
    <w:lvl w:ilvl="6" w:tplc="04260001" w:tentative="1">
      <w:start w:val="1"/>
      <w:numFmt w:val="bullet"/>
      <w:lvlText w:val=""/>
      <w:lvlJc w:val="left"/>
      <w:pPr>
        <w:tabs>
          <w:tab w:val="num" w:pos="5580"/>
        </w:tabs>
        <w:ind w:left="5580" w:hanging="360"/>
      </w:pPr>
      <w:rPr>
        <w:rFonts w:ascii="Symbol" w:hAnsi="Symbol" w:hint="default"/>
      </w:rPr>
    </w:lvl>
    <w:lvl w:ilvl="7" w:tplc="04260003" w:tentative="1">
      <w:start w:val="1"/>
      <w:numFmt w:val="bullet"/>
      <w:lvlText w:val="o"/>
      <w:lvlJc w:val="left"/>
      <w:pPr>
        <w:tabs>
          <w:tab w:val="num" w:pos="6300"/>
        </w:tabs>
        <w:ind w:left="6300" w:hanging="360"/>
      </w:pPr>
      <w:rPr>
        <w:rFonts w:ascii="Courier New" w:hAnsi="Courier New" w:cs="Courier New" w:hint="default"/>
      </w:rPr>
    </w:lvl>
    <w:lvl w:ilvl="8" w:tplc="0426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74622140"/>
    <w:multiLevelType w:val="hybridMultilevel"/>
    <w:tmpl w:val="B3D818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4E25F75"/>
    <w:multiLevelType w:val="multilevel"/>
    <w:tmpl w:val="094AC282"/>
    <w:lvl w:ilvl="0">
      <w:start w:val="1"/>
      <w:numFmt w:val="decimal"/>
      <w:lvlText w:val="%1."/>
      <w:lvlJc w:val="left"/>
      <w:pPr>
        <w:ind w:left="1353" w:hanging="360"/>
      </w:pPr>
      <w:rPr>
        <w:rFonts w:ascii="Times New Roman" w:hAnsi="Times New Roman" w:cs="Times New Roman" w:hint="default"/>
        <w:b w:val="0"/>
      </w:rPr>
    </w:lvl>
    <w:lvl w:ilvl="1">
      <w:start w:val="1"/>
      <w:numFmt w:val="decimal"/>
      <w:lvlText w:val="%1.%2."/>
      <w:lvlJc w:val="left"/>
      <w:pPr>
        <w:ind w:left="792" w:hanging="432"/>
      </w:pPr>
      <w:rPr>
        <w:rFonts w:cs="Times New Roman"/>
        <w:b w:val="0"/>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75CE3F4A"/>
    <w:multiLevelType w:val="hybridMultilevel"/>
    <w:tmpl w:val="B36249CE"/>
    <w:lvl w:ilvl="0" w:tplc="C630C3B6">
      <w:start w:val="1"/>
      <w:numFmt w:val="decimal"/>
      <w:lvlText w:val="%1."/>
      <w:lvlJc w:val="left"/>
      <w:pPr>
        <w:ind w:left="840" w:hanging="540"/>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num w:numId="1">
    <w:abstractNumId w:val="13"/>
  </w:num>
  <w:num w:numId="2">
    <w:abstractNumId w:val="6"/>
  </w:num>
  <w:num w:numId="3">
    <w:abstractNumId w:val="10"/>
  </w:num>
  <w:num w:numId="4">
    <w:abstractNumId w:val="3"/>
  </w:num>
  <w:num w:numId="5">
    <w:abstractNumId w:val="19"/>
  </w:num>
  <w:num w:numId="6">
    <w:abstractNumId w:val="15"/>
  </w:num>
  <w:num w:numId="7">
    <w:abstractNumId w:val="4"/>
  </w:num>
  <w:num w:numId="8">
    <w:abstractNumId w:val="12"/>
  </w:num>
  <w:num w:numId="9">
    <w:abstractNumId w:val="18"/>
  </w:num>
  <w:num w:numId="10">
    <w:abstractNumId w:val="8"/>
  </w:num>
  <w:num w:numId="11">
    <w:abstractNumId w:val="2"/>
  </w:num>
  <w:num w:numId="12">
    <w:abstractNumId w:val="14"/>
  </w:num>
  <w:num w:numId="13">
    <w:abstractNumId w:val="5"/>
  </w:num>
  <w:num w:numId="14">
    <w:abstractNumId w:val="20"/>
  </w:num>
  <w:num w:numId="15">
    <w:abstractNumId w:val="21"/>
  </w:num>
  <w:num w:numId="16">
    <w:abstractNumId w:val="22"/>
  </w:num>
  <w:num w:numId="17">
    <w:abstractNumId w:val="9"/>
  </w:num>
  <w:num w:numId="18">
    <w:abstractNumId w:val="17"/>
  </w:num>
  <w:num w:numId="19">
    <w:abstractNumId w:val="11"/>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6"/>
  </w:num>
  <w:num w:numId="2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14A"/>
    <w:rsid w:val="000016BD"/>
    <w:rsid w:val="00001B4E"/>
    <w:rsid w:val="000035E9"/>
    <w:rsid w:val="000120ED"/>
    <w:rsid w:val="00014140"/>
    <w:rsid w:val="00016312"/>
    <w:rsid w:val="00016C0C"/>
    <w:rsid w:val="0001753D"/>
    <w:rsid w:val="00020359"/>
    <w:rsid w:val="00022E93"/>
    <w:rsid w:val="000234A0"/>
    <w:rsid w:val="00027C7B"/>
    <w:rsid w:val="00033262"/>
    <w:rsid w:val="000332B6"/>
    <w:rsid w:val="000341C8"/>
    <w:rsid w:val="00035C6D"/>
    <w:rsid w:val="00044FC6"/>
    <w:rsid w:val="00046D11"/>
    <w:rsid w:val="00047007"/>
    <w:rsid w:val="00052D55"/>
    <w:rsid w:val="0005508D"/>
    <w:rsid w:val="00055AEA"/>
    <w:rsid w:val="00056905"/>
    <w:rsid w:val="00056D73"/>
    <w:rsid w:val="0006040A"/>
    <w:rsid w:val="000626DB"/>
    <w:rsid w:val="000675A3"/>
    <w:rsid w:val="000714C5"/>
    <w:rsid w:val="00076224"/>
    <w:rsid w:val="00077A0C"/>
    <w:rsid w:val="00081EB3"/>
    <w:rsid w:val="00083136"/>
    <w:rsid w:val="0008382D"/>
    <w:rsid w:val="00085612"/>
    <w:rsid w:val="00090331"/>
    <w:rsid w:val="000943C5"/>
    <w:rsid w:val="00094DAA"/>
    <w:rsid w:val="00097762"/>
    <w:rsid w:val="000A1181"/>
    <w:rsid w:val="000A5BB5"/>
    <w:rsid w:val="000B1D4C"/>
    <w:rsid w:val="000B3FF0"/>
    <w:rsid w:val="000B415D"/>
    <w:rsid w:val="000B4480"/>
    <w:rsid w:val="000B77AB"/>
    <w:rsid w:val="000B7EC7"/>
    <w:rsid w:val="000C03B2"/>
    <w:rsid w:val="000C2055"/>
    <w:rsid w:val="000C33CB"/>
    <w:rsid w:val="000C5806"/>
    <w:rsid w:val="000C6826"/>
    <w:rsid w:val="000C6B59"/>
    <w:rsid w:val="000D107A"/>
    <w:rsid w:val="000D75AF"/>
    <w:rsid w:val="000E0BF3"/>
    <w:rsid w:val="000E466F"/>
    <w:rsid w:val="000F0518"/>
    <w:rsid w:val="000F1D28"/>
    <w:rsid w:val="000F500A"/>
    <w:rsid w:val="000F5A6B"/>
    <w:rsid w:val="000F5D67"/>
    <w:rsid w:val="0010213A"/>
    <w:rsid w:val="00102C2A"/>
    <w:rsid w:val="00103B68"/>
    <w:rsid w:val="001055F0"/>
    <w:rsid w:val="00106E4E"/>
    <w:rsid w:val="001122DA"/>
    <w:rsid w:val="00113E49"/>
    <w:rsid w:val="001140B0"/>
    <w:rsid w:val="00116728"/>
    <w:rsid w:val="00116BF9"/>
    <w:rsid w:val="00125F52"/>
    <w:rsid w:val="001271FD"/>
    <w:rsid w:val="001307FB"/>
    <w:rsid w:val="00134D84"/>
    <w:rsid w:val="001407B1"/>
    <w:rsid w:val="00141D30"/>
    <w:rsid w:val="001435F4"/>
    <w:rsid w:val="001441A6"/>
    <w:rsid w:val="0015736F"/>
    <w:rsid w:val="001603B2"/>
    <w:rsid w:val="00160BB2"/>
    <w:rsid w:val="00162ECF"/>
    <w:rsid w:val="00163F6A"/>
    <w:rsid w:val="001676A1"/>
    <w:rsid w:val="0017259E"/>
    <w:rsid w:val="0017355D"/>
    <w:rsid w:val="00175B76"/>
    <w:rsid w:val="001808F7"/>
    <w:rsid w:val="00182BF2"/>
    <w:rsid w:val="00182BFF"/>
    <w:rsid w:val="001835E6"/>
    <w:rsid w:val="00185642"/>
    <w:rsid w:val="00190B95"/>
    <w:rsid w:val="00191B0C"/>
    <w:rsid w:val="001920BA"/>
    <w:rsid w:val="00194100"/>
    <w:rsid w:val="00194275"/>
    <w:rsid w:val="00196207"/>
    <w:rsid w:val="00196E98"/>
    <w:rsid w:val="001B498C"/>
    <w:rsid w:val="001B5A17"/>
    <w:rsid w:val="001C0200"/>
    <w:rsid w:val="001C766F"/>
    <w:rsid w:val="001D04FB"/>
    <w:rsid w:val="001D0A7E"/>
    <w:rsid w:val="001D7A9F"/>
    <w:rsid w:val="001E5673"/>
    <w:rsid w:val="001E62AB"/>
    <w:rsid w:val="001F2CC7"/>
    <w:rsid w:val="001F34A8"/>
    <w:rsid w:val="00200580"/>
    <w:rsid w:val="00201524"/>
    <w:rsid w:val="00202FCF"/>
    <w:rsid w:val="00204031"/>
    <w:rsid w:val="0020461A"/>
    <w:rsid w:val="00211B37"/>
    <w:rsid w:val="00221E58"/>
    <w:rsid w:val="00223CF3"/>
    <w:rsid w:val="002242A1"/>
    <w:rsid w:val="00224E21"/>
    <w:rsid w:val="0022633D"/>
    <w:rsid w:val="00234798"/>
    <w:rsid w:val="00237889"/>
    <w:rsid w:val="00237F1F"/>
    <w:rsid w:val="00243CE6"/>
    <w:rsid w:val="00243E9B"/>
    <w:rsid w:val="002506E7"/>
    <w:rsid w:val="0025328D"/>
    <w:rsid w:val="00254008"/>
    <w:rsid w:val="002547C0"/>
    <w:rsid w:val="0026164A"/>
    <w:rsid w:val="00261AF9"/>
    <w:rsid w:val="002647CA"/>
    <w:rsid w:val="0026686E"/>
    <w:rsid w:val="00270A46"/>
    <w:rsid w:val="00271075"/>
    <w:rsid w:val="002715FB"/>
    <w:rsid w:val="00272724"/>
    <w:rsid w:val="00273602"/>
    <w:rsid w:val="002741B5"/>
    <w:rsid w:val="002767DB"/>
    <w:rsid w:val="002778C8"/>
    <w:rsid w:val="002827EF"/>
    <w:rsid w:val="0028314E"/>
    <w:rsid w:val="002912D9"/>
    <w:rsid w:val="002969D0"/>
    <w:rsid w:val="002A137B"/>
    <w:rsid w:val="002A27D9"/>
    <w:rsid w:val="002A33A0"/>
    <w:rsid w:val="002A3DAF"/>
    <w:rsid w:val="002A5B16"/>
    <w:rsid w:val="002B0DEF"/>
    <w:rsid w:val="002B22AE"/>
    <w:rsid w:val="002C1467"/>
    <w:rsid w:val="002C4F31"/>
    <w:rsid w:val="002D7090"/>
    <w:rsid w:val="002E38F5"/>
    <w:rsid w:val="002E4593"/>
    <w:rsid w:val="002E609B"/>
    <w:rsid w:val="002E6195"/>
    <w:rsid w:val="002F1AD4"/>
    <w:rsid w:val="002F2386"/>
    <w:rsid w:val="002F252F"/>
    <w:rsid w:val="002F480A"/>
    <w:rsid w:val="002F4956"/>
    <w:rsid w:val="002F4AB4"/>
    <w:rsid w:val="003006A3"/>
    <w:rsid w:val="00300CBA"/>
    <w:rsid w:val="00301A7B"/>
    <w:rsid w:val="00304A94"/>
    <w:rsid w:val="003076E2"/>
    <w:rsid w:val="00310290"/>
    <w:rsid w:val="00321348"/>
    <w:rsid w:val="00324C4C"/>
    <w:rsid w:val="00327817"/>
    <w:rsid w:val="00332AED"/>
    <w:rsid w:val="00334E38"/>
    <w:rsid w:val="003432DE"/>
    <w:rsid w:val="00344F5F"/>
    <w:rsid w:val="003459D1"/>
    <w:rsid w:val="00355EBA"/>
    <w:rsid w:val="00357200"/>
    <w:rsid w:val="00362608"/>
    <w:rsid w:val="0036523B"/>
    <w:rsid w:val="00366CDF"/>
    <w:rsid w:val="003758A1"/>
    <w:rsid w:val="003759B6"/>
    <w:rsid w:val="0038144E"/>
    <w:rsid w:val="00382494"/>
    <w:rsid w:val="0038277B"/>
    <w:rsid w:val="00384170"/>
    <w:rsid w:val="0038543E"/>
    <w:rsid w:val="0038680A"/>
    <w:rsid w:val="00391303"/>
    <w:rsid w:val="003928AF"/>
    <w:rsid w:val="003957EC"/>
    <w:rsid w:val="00396157"/>
    <w:rsid w:val="003A0192"/>
    <w:rsid w:val="003A0693"/>
    <w:rsid w:val="003A093E"/>
    <w:rsid w:val="003A3D8C"/>
    <w:rsid w:val="003A54AD"/>
    <w:rsid w:val="003A67BF"/>
    <w:rsid w:val="003B52E2"/>
    <w:rsid w:val="003B6845"/>
    <w:rsid w:val="003B745C"/>
    <w:rsid w:val="003B757B"/>
    <w:rsid w:val="003C786E"/>
    <w:rsid w:val="003C7C85"/>
    <w:rsid w:val="003D042A"/>
    <w:rsid w:val="003D0C6F"/>
    <w:rsid w:val="003D1834"/>
    <w:rsid w:val="003D3CCA"/>
    <w:rsid w:val="003D7556"/>
    <w:rsid w:val="003E01E5"/>
    <w:rsid w:val="003E057B"/>
    <w:rsid w:val="003E5F61"/>
    <w:rsid w:val="003E6B59"/>
    <w:rsid w:val="003E6E99"/>
    <w:rsid w:val="003E6ECC"/>
    <w:rsid w:val="003F043E"/>
    <w:rsid w:val="003F1909"/>
    <w:rsid w:val="003F1AC7"/>
    <w:rsid w:val="003F5596"/>
    <w:rsid w:val="003F63C1"/>
    <w:rsid w:val="003F7C00"/>
    <w:rsid w:val="00400637"/>
    <w:rsid w:val="00400D4D"/>
    <w:rsid w:val="00401D33"/>
    <w:rsid w:val="004026CD"/>
    <w:rsid w:val="004045BA"/>
    <w:rsid w:val="00404A06"/>
    <w:rsid w:val="00410E85"/>
    <w:rsid w:val="004124BC"/>
    <w:rsid w:val="00424AEA"/>
    <w:rsid w:val="00424F7F"/>
    <w:rsid w:val="00426B2A"/>
    <w:rsid w:val="00427CBC"/>
    <w:rsid w:val="00427EA1"/>
    <w:rsid w:val="004300E0"/>
    <w:rsid w:val="004318A7"/>
    <w:rsid w:val="00431EF1"/>
    <w:rsid w:val="004326A4"/>
    <w:rsid w:val="00433697"/>
    <w:rsid w:val="00433CC5"/>
    <w:rsid w:val="00433D51"/>
    <w:rsid w:val="0043454A"/>
    <w:rsid w:val="00436BE6"/>
    <w:rsid w:val="00441288"/>
    <w:rsid w:val="00441DC7"/>
    <w:rsid w:val="00451858"/>
    <w:rsid w:val="004556EE"/>
    <w:rsid w:val="00460AA4"/>
    <w:rsid w:val="00460AA7"/>
    <w:rsid w:val="004643E2"/>
    <w:rsid w:val="00466C8D"/>
    <w:rsid w:val="004716A0"/>
    <w:rsid w:val="00472989"/>
    <w:rsid w:val="00476E4A"/>
    <w:rsid w:val="00482717"/>
    <w:rsid w:val="00487240"/>
    <w:rsid w:val="00490409"/>
    <w:rsid w:val="00491964"/>
    <w:rsid w:val="00492062"/>
    <w:rsid w:val="004956DA"/>
    <w:rsid w:val="00495D9D"/>
    <w:rsid w:val="00497476"/>
    <w:rsid w:val="004A021E"/>
    <w:rsid w:val="004A1559"/>
    <w:rsid w:val="004A3293"/>
    <w:rsid w:val="004A32CF"/>
    <w:rsid w:val="004B0195"/>
    <w:rsid w:val="004B105F"/>
    <w:rsid w:val="004B1638"/>
    <w:rsid w:val="004B1A06"/>
    <w:rsid w:val="004B265A"/>
    <w:rsid w:val="004B2D2D"/>
    <w:rsid w:val="004B30B6"/>
    <w:rsid w:val="004C2227"/>
    <w:rsid w:val="004C3838"/>
    <w:rsid w:val="004C4856"/>
    <w:rsid w:val="004C5014"/>
    <w:rsid w:val="004C62AF"/>
    <w:rsid w:val="004C7374"/>
    <w:rsid w:val="004D5198"/>
    <w:rsid w:val="004D5B22"/>
    <w:rsid w:val="004D5C41"/>
    <w:rsid w:val="004D5EEE"/>
    <w:rsid w:val="004D788F"/>
    <w:rsid w:val="004D7A79"/>
    <w:rsid w:val="004E1357"/>
    <w:rsid w:val="004E1C5D"/>
    <w:rsid w:val="004E7BDE"/>
    <w:rsid w:val="004E7CB7"/>
    <w:rsid w:val="004F05A9"/>
    <w:rsid w:val="004F0DEC"/>
    <w:rsid w:val="004F0E2E"/>
    <w:rsid w:val="00501879"/>
    <w:rsid w:val="00503D11"/>
    <w:rsid w:val="005113C3"/>
    <w:rsid w:val="00512801"/>
    <w:rsid w:val="00516286"/>
    <w:rsid w:val="00520432"/>
    <w:rsid w:val="005215A7"/>
    <w:rsid w:val="00524929"/>
    <w:rsid w:val="00525CE9"/>
    <w:rsid w:val="0053003F"/>
    <w:rsid w:val="00531000"/>
    <w:rsid w:val="0053447D"/>
    <w:rsid w:val="00534794"/>
    <w:rsid w:val="0054180D"/>
    <w:rsid w:val="00542131"/>
    <w:rsid w:val="00542409"/>
    <w:rsid w:val="00544DB7"/>
    <w:rsid w:val="00545994"/>
    <w:rsid w:val="00550AED"/>
    <w:rsid w:val="00551274"/>
    <w:rsid w:val="00554D30"/>
    <w:rsid w:val="00556165"/>
    <w:rsid w:val="00556C39"/>
    <w:rsid w:val="00557E77"/>
    <w:rsid w:val="0056135A"/>
    <w:rsid w:val="0056597D"/>
    <w:rsid w:val="00565C2A"/>
    <w:rsid w:val="00565E18"/>
    <w:rsid w:val="00572388"/>
    <w:rsid w:val="00573C2F"/>
    <w:rsid w:val="00577312"/>
    <w:rsid w:val="00592251"/>
    <w:rsid w:val="00595AAF"/>
    <w:rsid w:val="005A00A2"/>
    <w:rsid w:val="005A2907"/>
    <w:rsid w:val="005A3AA1"/>
    <w:rsid w:val="005B03D9"/>
    <w:rsid w:val="005B0568"/>
    <w:rsid w:val="005B1FC4"/>
    <w:rsid w:val="005B599E"/>
    <w:rsid w:val="005B6DF4"/>
    <w:rsid w:val="005B7541"/>
    <w:rsid w:val="005C427A"/>
    <w:rsid w:val="005C7340"/>
    <w:rsid w:val="005D33FD"/>
    <w:rsid w:val="005D48AD"/>
    <w:rsid w:val="005D5409"/>
    <w:rsid w:val="005E1A9C"/>
    <w:rsid w:val="005E2EBD"/>
    <w:rsid w:val="005E3AF7"/>
    <w:rsid w:val="005E59DE"/>
    <w:rsid w:val="005E6EAF"/>
    <w:rsid w:val="005F29D9"/>
    <w:rsid w:val="005F7BF7"/>
    <w:rsid w:val="006015A9"/>
    <w:rsid w:val="0060160B"/>
    <w:rsid w:val="00601E80"/>
    <w:rsid w:val="00602DDB"/>
    <w:rsid w:val="00604335"/>
    <w:rsid w:val="0060512A"/>
    <w:rsid w:val="006070FD"/>
    <w:rsid w:val="00607227"/>
    <w:rsid w:val="00611AD4"/>
    <w:rsid w:val="00615071"/>
    <w:rsid w:val="00617A7F"/>
    <w:rsid w:val="00620F78"/>
    <w:rsid w:val="00621C19"/>
    <w:rsid w:val="0062297A"/>
    <w:rsid w:val="00623C16"/>
    <w:rsid w:val="00627DA4"/>
    <w:rsid w:val="00631A3B"/>
    <w:rsid w:val="00631FC9"/>
    <w:rsid w:val="006347A5"/>
    <w:rsid w:val="0063712C"/>
    <w:rsid w:val="00637BC7"/>
    <w:rsid w:val="00642064"/>
    <w:rsid w:val="006503B2"/>
    <w:rsid w:val="00651BEE"/>
    <w:rsid w:val="006520EB"/>
    <w:rsid w:val="006606AA"/>
    <w:rsid w:val="006629F3"/>
    <w:rsid w:val="006640A7"/>
    <w:rsid w:val="00664D96"/>
    <w:rsid w:val="00664D99"/>
    <w:rsid w:val="00666E07"/>
    <w:rsid w:val="00667688"/>
    <w:rsid w:val="00671F54"/>
    <w:rsid w:val="00675018"/>
    <w:rsid w:val="00676A56"/>
    <w:rsid w:val="0067748A"/>
    <w:rsid w:val="00682CD9"/>
    <w:rsid w:val="006869B1"/>
    <w:rsid w:val="00695FAB"/>
    <w:rsid w:val="00697F9E"/>
    <w:rsid w:val="006A1715"/>
    <w:rsid w:val="006A3BC7"/>
    <w:rsid w:val="006A5775"/>
    <w:rsid w:val="006B10F6"/>
    <w:rsid w:val="006B2F21"/>
    <w:rsid w:val="006B5100"/>
    <w:rsid w:val="006B53EC"/>
    <w:rsid w:val="006B73D7"/>
    <w:rsid w:val="006C2311"/>
    <w:rsid w:val="006C4F95"/>
    <w:rsid w:val="006D0849"/>
    <w:rsid w:val="006D3DE6"/>
    <w:rsid w:val="006D5A86"/>
    <w:rsid w:val="006F5666"/>
    <w:rsid w:val="006F620E"/>
    <w:rsid w:val="00700177"/>
    <w:rsid w:val="0070022E"/>
    <w:rsid w:val="0070102F"/>
    <w:rsid w:val="007016F5"/>
    <w:rsid w:val="00703A7B"/>
    <w:rsid w:val="00703E36"/>
    <w:rsid w:val="00706194"/>
    <w:rsid w:val="00710C9E"/>
    <w:rsid w:val="00712DF2"/>
    <w:rsid w:val="007150EA"/>
    <w:rsid w:val="0071548C"/>
    <w:rsid w:val="0071688E"/>
    <w:rsid w:val="00717BE4"/>
    <w:rsid w:val="0072288D"/>
    <w:rsid w:val="00724BBE"/>
    <w:rsid w:val="00724F6B"/>
    <w:rsid w:val="007310F0"/>
    <w:rsid w:val="0073424C"/>
    <w:rsid w:val="00734C35"/>
    <w:rsid w:val="007373E6"/>
    <w:rsid w:val="0074335D"/>
    <w:rsid w:val="00747865"/>
    <w:rsid w:val="00751B39"/>
    <w:rsid w:val="00753158"/>
    <w:rsid w:val="00753E59"/>
    <w:rsid w:val="00756416"/>
    <w:rsid w:val="0076029A"/>
    <w:rsid w:val="007602DF"/>
    <w:rsid w:val="00760CB9"/>
    <w:rsid w:val="00760DE5"/>
    <w:rsid w:val="00777937"/>
    <w:rsid w:val="00777C5F"/>
    <w:rsid w:val="00782C50"/>
    <w:rsid w:val="00786A82"/>
    <w:rsid w:val="00792561"/>
    <w:rsid w:val="00792D8B"/>
    <w:rsid w:val="007931AE"/>
    <w:rsid w:val="007A1980"/>
    <w:rsid w:val="007A39F4"/>
    <w:rsid w:val="007A5290"/>
    <w:rsid w:val="007A7D1E"/>
    <w:rsid w:val="007B33FD"/>
    <w:rsid w:val="007B5D7B"/>
    <w:rsid w:val="007C17C6"/>
    <w:rsid w:val="007C44EC"/>
    <w:rsid w:val="007D679B"/>
    <w:rsid w:val="007E2394"/>
    <w:rsid w:val="007E271F"/>
    <w:rsid w:val="007E66EC"/>
    <w:rsid w:val="007F1FB9"/>
    <w:rsid w:val="007F1FC2"/>
    <w:rsid w:val="007F2050"/>
    <w:rsid w:val="007F74A9"/>
    <w:rsid w:val="008007D2"/>
    <w:rsid w:val="00802ACB"/>
    <w:rsid w:val="00807C1E"/>
    <w:rsid w:val="008112EC"/>
    <w:rsid w:val="00812AF1"/>
    <w:rsid w:val="0082085A"/>
    <w:rsid w:val="008222A0"/>
    <w:rsid w:val="0083008D"/>
    <w:rsid w:val="0083160C"/>
    <w:rsid w:val="008337C3"/>
    <w:rsid w:val="008413F8"/>
    <w:rsid w:val="00843C9D"/>
    <w:rsid w:val="008462AB"/>
    <w:rsid w:val="00853A17"/>
    <w:rsid w:val="00856AE3"/>
    <w:rsid w:val="0086337A"/>
    <w:rsid w:val="008637AF"/>
    <w:rsid w:val="00864AF4"/>
    <w:rsid w:val="00867B51"/>
    <w:rsid w:val="00871EEA"/>
    <w:rsid w:val="00874389"/>
    <w:rsid w:val="0088357F"/>
    <w:rsid w:val="008909CC"/>
    <w:rsid w:val="00894045"/>
    <w:rsid w:val="008A1234"/>
    <w:rsid w:val="008A64F4"/>
    <w:rsid w:val="008A6DCF"/>
    <w:rsid w:val="008A7834"/>
    <w:rsid w:val="008A7ADF"/>
    <w:rsid w:val="008B3A42"/>
    <w:rsid w:val="008B5EF2"/>
    <w:rsid w:val="008C1038"/>
    <w:rsid w:val="008C114A"/>
    <w:rsid w:val="008C150F"/>
    <w:rsid w:val="008C3A7C"/>
    <w:rsid w:val="008D1677"/>
    <w:rsid w:val="008D487F"/>
    <w:rsid w:val="008D6B98"/>
    <w:rsid w:val="008E19EF"/>
    <w:rsid w:val="008E25ED"/>
    <w:rsid w:val="008E67AF"/>
    <w:rsid w:val="008E7683"/>
    <w:rsid w:val="008F15A6"/>
    <w:rsid w:val="008F344A"/>
    <w:rsid w:val="008F391C"/>
    <w:rsid w:val="008F3A23"/>
    <w:rsid w:val="008F4497"/>
    <w:rsid w:val="00900AA0"/>
    <w:rsid w:val="00902C38"/>
    <w:rsid w:val="009057F8"/>
    <w:rsid w:val="00905A04"/>
    <w:rsid w:val="00905C5E"/>
    <w:rsid w:val="009174CB"/>
    <w:rsid w:val="0092173D"/>
    <w:rsid w:val="00923C26"/>
    <w:rsid w:val="00932AAE"/>
    <w:rsid w:val="0093493B"/>
    <w:rsid w:val="00943F01"/>
    <w:rsid w:val="00946EC0"/>
    <w:rsid w:val="00950D32"/>
    <w:rsid w:val="00951C1E"/>
    <w:rsid w:val="00955546"/>
    <w:rsid w:val="009560DB"/>
    <w:rsid w:val="00956A80"/>
    <w:rsid w:val="00957BC4"/>
    <w:rsid w:val="00962758"/>
    <w:rsid w:val="00964DCC"/>
    <w:rsid w:val="00974D09"/>
    <w:rsid w:val="0098365A"/>
    <w:rsid w:val="009836FD"/>
    <w:rsid w:val="00983F61"/>
    <w:rsid w:val="009844AD"/>
    <w:rsid w:val="0098576B"/>
    <w:rsid w:val="00993677"/>
    <w:rsid w:val="00994E4E"/>
    <w:rsid w:val="009958FA"/>
    <w:rsid w:val="00996E1A"/>
    <w:rsid w:val="00997B12"/>
    <w:rsid w:val="009A2425"/>
    <w:rsid w:val="009A3549"/>
    <w:rsid w:val="009A5585"/>
    <w:rsid w:val="009A5B13"/>
    <w:rsid w:val="009A716E"/>
    <w:rsid w:val="009B00DA"/>
    <w:rsid w:val="009B1FCA"/>
    <w:rsid w:val="009B3AC8"/>
    <w:rsid w:val="009B4942"/>
    <w:rsid w:val="009B534D"/>
    <w:rsid w:val="009C605B"/>
    <w:rsid w:val="009D25DC"/>
    <w:rsid w:val="009D2661"/>
    <w:rsid w:val="009D37DE"/>
    <w:rsid w:val="009D5367"/>
    <w:rsid w:val="009D5538"/>
    <w:rsid w:val="009D5732"/>
    <w:rsid w:val="009E3DD4"/>
    <w:rsid w:val="009E46DC"/>
    <w:rsid w:val="009E4774"/>
    <w:rsid w:val="009E7E4A"/>
    <w:rsid w:val="009F149E"/>
    <w:rsid w:val="009F208D"/>
    <w:rsid w:val="00A04243"/>
    <w:rsid w:val="00A04E77"/>
    <w:rsid w:val="00A054B3"/>
    <w:rsid w:val="00A05523"/>
    <w:rsid w:val="00A057E9"/>
    <w:rsid w:val="00A1072B"/>
    <w:rsid w:val="00A1188F"/>
    <w:rsid w:val="00A16EA4"/>
    <w:rsid w:val="00A20573"/>
    <w:rsid w:val="00A20A84"/>
    <w:rsid w:val="00A25192"/>
    <w:rsid w:val="00A262C9"/>
    <w:rsid w:val="00A3285F"/>
    <w:rsid w:val="00A3342C"/>
    <w:rsid w:val="00A334CA"/>
    <w:rsid w:val="00A33BB7"/>
    <w:rsid w:val="00A35D46"/>
    <w:rsid w:val="00A3658C"/>
    <w:rsid w:val="00A37CB7"/>
    <w:rsid w:val="00A50BB7"/>
    <w:rsid w:val="00A50E6C"/>
    <w:rsid w:val="00A5239C"/>
    <w:rsid w:val="00A551F3"/>
    <w:rsid w:val="00A56E1E"/>
    <w:rsid w:val="00A6384F"/>
    <w:rsid w:val="00A66531"/>
    <w:rsid w:val="00A668A2"/>
    <w:rsid w:val="00A66B55"/>
    <w:rsid w:val="00A67BE8"/>
    <w:rsid w:val="00A70FFE"/>
    <w:rsid w:val="00A7292D"/>
    <w:rsid w:val="00A77EB0"/>
    <w:rsid w:val="00A82D2D"/>
    <w:rsid w:val="00A85219"/>
    <w:rsid w:val="00A93D38"/>
    <w:rsid w:val="00A9414A"/>
    <w:rsid w:val="00A949A4"/>
    <w:rsid w:val="00A95172"/>
    <w:rsid w:val="00A96168"/>
    <w:rsid w:val="00A96462"/>
    <w:rsid w:val="00AA167F"/>
    <w:rsid w:val="00AA4F25"/>
    <w:rsid w:val="00AA5D75"/>
    <w:rsid w:val="00AA6526"/>
    <w:rsid w:val="00AA68A2"/>
    <w:rsid w:val="00AB0269"/>
    <w:rsid w:val="00AB0B8C"/>
    <w:rsid w:val="00AB45E4"/>
    <w:rsid w:val="00AB534A"/>
    <w:rsid w:val="00AC61C8"/>
    <w:rsid w:val="00AD4039"/>
    <w:rsid w:val="00AD4D04"/>
    <w:rsid w:val="00AD4DCD"/>
    <w:rsid w:val="00AD551E"/>
    <w:rsid w:val="00AE007A"/>
    <w:rsid w:val="00AE0A59"/>
    <w:rsid w:val="00AE1691"/>
    <w:rsid w:val="00AE5C05"/>
    <w:rsid w:val="00AE5CE3"/>
    <w:rsid w:val="00AE7A2A"/>
    <w:rsid w:val="00AF219E"/>
    <w:rsid w:val="00AF40E4"/>
    <w:rsid w:val="00AF50AF"/>
    <w:rsid w:val="00B01E05"/>
    <w:rsid w:val="00B02178"/>
    <w:rsid w:val="00B03464"/>
    <w:rsid w:val="00B0359A"/>
    <w:rsid w:val="00B04609"/>
    <w:rsid w:val="00B05C67"/>
    <w:rsid w:val="00B05CF7"/>
    <w:rsid w:val="00B07F19"/>
    <w:rsid w:val="00B10B1B"/>
    <w:rsid w:val="00B13BDF"/>
    <w:rsid w:val="00B16F27"/>
    <w:rsid w:val="00B22177"/>
    <w:rsid w:val="00B25BAE"/>
    <w:rsid w:val="00B305CA"/>
    <w:rsid w:val="00B30CE8"/>
    <w:rsid w:val="00B31360"/>
    <w:rsid w:val="00B35B29"/>
    <w:rsid w:val="00B44FA2"/>
    <w:rsid w:val="00B57707"/>
    <w:rsid w:val="00B66ADD"/>
    <w:rsid w:val="00B71592"/>
    <w:rsid w:val="00B75153"/>
    <w:rsid w:val="00B80022"/>
    <w:rsid w:val="00B800B6"/>
    <w:rsid w:val="00B84BE0"/>
    <w:rsid w:val="00B94188"/>
    <w:rsid w:val="00B94C75"/>
    <w:rsid w:val="00BA5241"/>
    <w:rsid w:val="00BA6F87"/>
    <w:rsid w:val="00BB553D"/>
    <w:rsid w:val="00BB55A7"/>
    <w:rsid w:val="00BB6693"/>
    <w:rsid w:val="00BB7D77"/>
    <w:rsid w:val="00BC04F9"/>
    <w:rsid w:val="00BC0BCD"/>
    <w:rsid w:val="00BC6381"/>
    <w:rsid w:val="00BC7349"/>
    <w:rsid w:val="00BD358B"/>
    <w:rsid w:val="00BD3942"/>
    <w:rsid w:val="00BD53D1"/>
    <w:rsid w:val="00BE0744"/>
    <w:rsid w:val="00BE3986"/>
    <w:rsid w:val="00BF1B0B"/>
    <w:rsid w:val="00BF4C75"/>
    <w:rsid w:val="00BF5D20"/>
    <w:rsid w:val="00BF7773"/>
    <w:rsid w:val="00C0165B"/>
    <w:rsid w:val="00C118E6"/>
    <w:rsid w:val="00C12076"/>
    <w:rsid w:val="00C12F26"/>
    <w:rsid w:val="00C14857"/>
    <w:rsid w:val="00C14A99"/>
    <w:rsid w:val="00C15E7A"/>
    <w:rsid w:val="00C22987"/>
    <w:rsid w:val="00C2454C"/>
    <w:rsid w:val="00C24D1E"/>
    <w:rsid w:val="00C25896"/>
    <w:rsid w:val="00C33F75"/>
    <w:rsid w:val="00C33FD9"/>
    <w:rsid w:val="00C34095"/>
    <w:rsid w:val="00C35701"/>
    <w:rsid w:val="00C4117C"/>
    <w:rsid w:val="00C43987"/>
    <w:rsid w:val="00C44D75"/>
    <w:rsid w:val="00C46173"/>
    <w:rsid w:val="00C50437"/>
    <w:rsid w:val="00C50516"/>
    <w:rsid w:val="00C54DCA"/>
    <w:rsid w:val="00C56CCC"/>
    <w:rsid w:val="00C577DE"/>
    <w:rsid w:val="00C60356"/>
    <w:rsid w:val="00C64DCB"/>
    <w:rsid w:val="00C668DD"/>
    <w:rsid w:val="00C66BF0"/>
    <w:rsid w:val="00C674AC"/>
    <w:rsid w:val="00C7084D"/>
    <w:rsid w:val="00C71B32"/>
    <w:rsid w:val="00C72B5E"/>
    <w:rsid w:val="00C74144"/>
    <w:rsid w:val="00C7528F"/>
    <w:rsid w:val="00C8011E"/>
    <w:rsid w:val="00C8261D"/>
    <w:rsid w:val="00C83056"/>
    <w:rsid w:val="00C90DC0"/>
    <w:rsid w:val="00C91D4B"/>
    <w:rsid w:val="00C95363"/>
    <w:rsid w:val="00CA3C28"/>
    <w:rsid w:val="00CA5452"/>
    <w:rsid w:val="00CB1F38"/>
    <w:rsid w:val="00CB3F37"/>
    <w:rsid w:val="00CB5C28"/>
    <w:rsid w:val="00CB6CD8"/>
    <w:rsid w:val="00CC60C9"/>
    <w:rsid w:val="00CD0241"/>
    <w:rsid w:val="00CD0496"/>
    <w:rsid w:val="00CE0B2D"/>
    <w:rsid w:val="00CE1250"/>
    <w:rsid w:val="00CE2C65"/>
    <w:rsid w:val="00CF1E89"/>
    <w:rsid w:val="00CF71D5"/>
    <w:rsid w:val="00D012D9"/>
    <w:rsid w:val="00D022A9"/>
    <w:rsid w:val="00D031B5"/>
    <w:rsid w:val="00D10E67"/>
    <w:rsid w:val="00D12B56"/>
    <w:rsid w:val="00D141DD"/>
    <w:rsid w:val="00D15371"/>
    <w:rsid w:val="00D171F7"/>
    <w:rsid w:val="00D17883"/>
    <w:rsid w:val="00D20A3E"/>
    <w:rsid w:val="00D2130A"/>
    <w:rsid w:val="00D215A0"/>
    <w:rsid w:val="00D227CE"/>
    <w:rsid w:val="00D32523"/>
    <w:rsid w:val="00D34E2D"/>
    <w:rsid w:val="00D365C8"/>
    <w:rsid w:val="00D42666"/>
    <w:rsid w:val="00D470EB"/>
    <w:rsid w:val="00D47DAC"/>
    <w:rsid w:val="00D53592"/>
    <w:rsid w:val="00D53D12"/>
    <w:rsid w:val="00D60F97"/>
    <w:rsid w:val="00D672C8"/>
    <w:rsid w:val="00D67831"/>
    <w:rsid w:val="00D71BEC"/>
    <w:rsid w:val="00D742C0"/>
    <w:rsid w:val="00D8354F"/>
    <w:rsid w:val="00D84CC4"/>
    <w:rsid w:val="00D86725"/>
    <w:rsid w:val="00D912F5"/>
    <w:rsid w:val="00D923F9"/>
    <w:rsid w:val="00D95ABB"/>
    <w:rsid w:val="00D95D18"/>
    <w:rsid w:val="00DA0A23"/>
    <w:rsid w:val="00DA1541"/>
    <w:rsid w:val="00DA50CE"/>
    <w:rsid w:val="00DB2C7A"/>
    <w:rsid w:val="00DB33C3"/>
    <w:rsid w:val="00DB5395"/>
    <w:rsid w:val="00DB5EA3"/>
    <w:rsid w:val="00DB6842"/>
    <w:rsid w:val="00DC0168"/>
    <w:rsid w:val="00DC5976"/>
    <w:rsid w:val="00DC74F5"/>
    <w:rsid w:val="00DE14A0"/>
    <w:rsid w:val="00DE161F"/>
    <w:rsid w:val="00DE22B5"/>
    <w:rsid w:val="00DE42AF"/>
    <w:rsid w:val="00DF04FF"/>
    <w:rsid w:val="00DF2CD4"/>
    <w:rsid w:val="00DF7151"/>
    <w:rsid w:val="00DF726F"/>
    <w:rsid w:val="00DF72EC"/>
    <w:rsid w:val="00E022AE"/>
    <w:rsid w:val="00E03576"/>
    <w:rsid w:val="00E04282"/>
    <w:rsid w:val="00E04E2E"/>
    <w:rsid w:val="00E06C6C"/>
    <w:rsid w:val="00E12A61"/>
    <w:rsid w:val="00E15728"/>
    <w:rsid w:val="00E203DD"/>
    <w:rsid w:val="00E235D8"/>
    <w:rsid w:val="00E25038"/>
    <w:rsid w:val="00E27437"/>
    <w:rsid w:val="00E33BA9"/>
    <w:rsid w:val="00E43B04"/>
    <w:rsid w:val="00E451AA"/>
    <w:rsid w:val="00E456F0"/>
    <w:rsid w:val="00E45B8B"/>
    <w:rsid w:val="00E53280"/>
    <w:rsid w:val="00E53372"/>
    <w:rsid w:val="00E5669B"/>
    <w:rsid w:val="00E607BE"/>
    <w:rsid w:val="00E61668"/>
    <w:rsid w:val="00E72093"/>
    <w:rsid w:val="00E752C7"/>
    <w:rsid w:val="00E774D2"/>
    <w:rsid w:val="00E805B1"/>
    <w:rsid w:val="00E81B77"/>
    <w:rsid w:val="00E847D5"/>
    <w:rsid w:val="00E85278"/>
    <w:rsid w:val="00E927D1"/>
    <w:rsid w:val="00E94EDF"/>
    <w:rsid w:val="00E95C99"/>
    <w:rsid w:val="00E966EB"/>
    <w:rsid w:val="00E9756F"/>
    <w:rsid w:val="00E97EA8"/>
    <w:rsid w:val="00EA0D80"/>
    <w:rsid w:val="00EA3237"/>
    <w:rsid w:val="00EA52FF"/>
    <w:rsid w:val="00EB0CC2"/>
    <w:rsid w:val="00EB1087"/>
    <w:rsid w:val="00EB79D8"/>
    <w:rsid w:val="00EC0BA6"/>
    <w:rsid w:val="00EC1B1C"/>
    <w:rsid w:val="00EC7423"/>
    <w:rsid w:val="00ED48A3"/>
    <w:rsid w:val="00ED66C2"/>
    <w:rsid w:val="00ED721A"/>
    <w:rsid w:val="00ED7277"/>
    <w:rsid w:val="00ED7AF0"/>
    <w:rsid w:val="00EE55D4"/>
    <w:rsid w:val="00EF0AA1"/>
    <w:rsid w:val="00EF4ED4"/>
    <w:rsid w:val="00EF5583"/>
    <w:rsid w:val="00EF5B30"/>
    <w:rsid w:val="00F00D3A"/>
    <w:rsid w:val="00F028D2"/>
    <w:rsid w:val="00F04624"/>
    <w:rsid w:val="00F057C5"/>
    <w:rsid w:val="00F06CF5"/>
    <w:rsid w:val="00F1071A"/>
    <w:rsid w:val="00F110A7"/>
    <w:rsid w:val="00F138DA"/>
    <w:rsid w:val="00F20BCE"/>
    <w:rsid w:val="00F310DC"/>
    <w:rsid w:val="00F34092"/>
    <w:rsid w:val="00F3508C"/>
    <w:rsid w:val="00F409E9"/>
    <w:rsid w:val="00F43165"/>
    <w:rsid w:val="00F47597"/>
    <w:rsid w:val="00F54740"/>
    <w:rsid w:val="00F56464"/>
    <w:rsid w:val="00F5657C"/>
    <w:rsid w:val="00F61494"/>
    <w:rsid w:val="00F62AD4"/>
    <w:rsid w:val="00F638B6"/>
    <w:rsid w:val="00F7092F"/>
    <w:rsid w:val="00F71A50"/>
    <w:rsid w:val="00F72041"/>
    <w:rsid w:val="00F7454F"/>
    <w:rsid w:val="00F754C5"/>
    <w:rsid w:val="00F758B4"/>
    <w:rsid w:val="00F76908"/>
    <w:rsid w:val="00F847B4"/>
    <w:rsid w:val="00F84AEB"/>
    <w:rsid w:val="00F86A1F"/>
    <w:rsid w:val="00F9238F"/>
    <w:rsid w:val="00F92B06"/>
    <w:rsid w:val="00F92D4B"/>
    <w:rsid w:val="00F93038"/>
    <w:rsid w:val="00F94BE0"/>
    <w:rsid w:val="00F9741B"/>
    <w:rsid w:val="00F977FA"/>
    <w:rsid w:val="00FA13EC"/>
    <w:rsid w:val="00FA5C75"/>
    <w:rsid w:val="00FB1354"/>
    <w:rsid w:val="00FB2419"/>
    <w:rsid w:val="00FB5A3B"/>
    <w:rsid w:val="00FC4185"/>
    <w:rsid w:val="00FC4510"/>
    <w:rsid w:val="00FC463B"/>
    <w:rsid w:val="00FC5DE1"/>
    <w:rsid w:val="00FC67FC"/>
    <w:rsid w:val="00FC76D8"/>
    <w:rsid w:val="00FD0F03"/>
    <w:rsid w:val="00FD20C0"/>
    <w:rsid w:val="00FD26E0"/>
    <w:rsid w:val="00FD3358"/>
    <w:rsid w:val="00FD5CA4"/>
    <w:rsid w:val="00FD606A"/>
    <w:rsid w:val="00FE7B46"/>
    <w:rsid w:val="00FF786E"/>
    <w:rsid w:val="00FF78C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57345"/>
    <o:shapelayout v:ext="edit">
      <o:idmap v:ext="edit" data="1"/>
    </o:shapelayout>
  </w:shapeDefaults>
  <w:decimalSymbol w:val="."/>
  <w:listSeparator w:val=";"/>
  <w14:docId w14:val="144F1A72"/>
  <w15:docId w15:val="{5E6C9566-37B3-4DEC-972C-0D3FA3A61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14A"/>
    <w:rPr>
      <w:sz w:val="24"/>
      <w:szCs w:val="24"/>
      <w:lang w:eastAsia="en-US"/>
    </w:rPr>
  </w:style>
  <w:style w:type="paragraph" w:styleId="Heading1">
    <w:name w:val="heading 1"/>
    <w:basedOn w:val="Normal"/>
    <w:next w:val="Normal"/>
    <w:link w:val="Heading1Char"/>
    <w:qFormat/>
    <w:rsid w:val="008C114A"/>
    <w:pPr>
      <w:keepNext/>
      <w:jc w:val="center"/>
      <w:outlineLvl w:val="0"/>
    </w:pPr>
    <w:rPr>
      <w:rFonts w:ascii="RimTimes" w:hAnsi="RimTimes"/>
      <w:b/>
      <w:sz w:val="28"/>
      <w:szCs w:val="20"/>
    </w:rPr>
  </w:style>
  <w:style w:type="paragraph" w:styleId="Heading2">
    <w:name w:val="heading 2"/>
    <w:basedOn w:val="Normal"/>
    <w:next w:val="Normal"/>
    <w:link w:val="Heading2Char"/>
    <w:uiPriority w:val="99"/>
    <w:unhideWhenUsed/>
    <w:qFormat/>
    <w:rsid w:val="000550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2C4F31"/>
    <w:pPr>
      <w:keepNext/>
      <w:tabs>
        <w:tab w:val="num" w:pos="720"/>
      </w:tabs>
      <w:spacing w:before="240" w:after="60"/>
      <w:ind w:left="720" w:hanging="720"/>
      <w:outlineLvl w:val="2"/>
    </w:pPr>
    <w:rPr>
      <w:b/>
      <w:bCs/>
      <w:sz w:val="26"/>
      <w:szCs w:val="26"/>
      <w:lang w:val="en-GB"/>
    </w:rPr>
  </w:style>
  <w:style w:type="paragraph" w:styleId="Heading4">
    <w:name w:val="heading 4"/>
    <w:basedOn w:val="Normal"/>
    <w:next w:val="Normal"/>
    <w:link w:val="Heading4Char"/>
    <w:uiPriority w:val="99"/>
    <w:qFormat/>
    <w:rsid w:val="002C4F31"/>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uiPriority w:val="99"/>
    <w:qFormat/>
    <w:rsid w:val="002C4F31"/>
    <w:pPr>
      <w:tabs>
        <w:tab w:val="num" w:pos="1008"/>
      </w:tabs>
      <w:spacing w:before="240" w:after="60"/>
      <w:ind w:left="1008" w:hanging="1008"/>
      <w:outlineLvl w:val="4"/>
    </w:pPr>
    <w:rPr>
      <w:b/>
      <w:bCs/>
      <w:i/>
      <w:iCs/>
      <w:sz w:val="26"/>
      <w:szCs w:val="26"/>
      <w:lang w:val="en-GB"/>
    </w:rPr>
  </w:style>
  <w:style w:type="paragraph" w:styleId="Heading6">
    <w:name w:val="heading 6"/>
    <w:basedOn w:val="Normal"/>
    <w:next w:val="Normal"/>
    <w:link w:val="Heading6Char"/>
    <w:uiPriority w:val="99"/>
    <w:qFormat/>
    <w:rsid w:val="002C4F31"/>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2C4F31"/>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2C4F31"/>
    <w:pPr>
      <w:tabs>
        <w:tab w:val="num" w:pos="1440"/>
      </w:tabs>
      <w:spacing w:before="240" w:after="60"/>
      <w:ind w:left="1440" w:hanging="1440"/>
      <w:outlineLvl w:val="7"/>
    </w:pPr>
    <w:rPr>
      <w:i/>
      <w:iCs/>
      <w:lang w:val="en-GB"/>
    </w:rPr>
  </w:style>
  <w:style w:type="paragraph" w:styleId="Heading9">
    <w:name w:val="heading 9"/>
    <w:basedOn w:val="Normal"/>
    <w:next w:val="Normal"/>
    <w:link w:val="Heading9Char"/>
    <w:uiPriority w:val="99"/>
    <w:qFormat/>
    <w:rsid w:val="002C4F31"/>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C114A"/>
    <w:pPr>
      <w:ind w:firstLine="720"/>
      <w:jc w:val="both"/>
    </w:pPr>
    <w:rPr>
      <w:szCs w:val="20"/>
    </w:rPr>
  </w:style>
  <w:style w:type="character" w:styleId="PageNumber">
    <w:name w:val="page number"/>
    <w:basedOn w:val="DefaultParagraphFont"/>
    <w:rsid w:val="008C114A"/>
  </w:style>
  <w:style w:type="paragraph" w:styleId="Footer">
    <w:name w:val="footer"/>
    <w:basedOn w:val="Normal"/>
    <w:link w:val="FooterChar"/>
    <w:uiPriority w:val="99"/>
    <w:rsid w:val="008C114A"/>
    <w:pPr>
      <w:tabs>
        <w:tab w:val="center" w:pos="4320"/>
        <w:tab w:val="right" w:pos="8640"/>
      </w:tabs>
    </w:pPr>
    <w:rPr>
      <w:sz w:val="26"/>
      <w:szCs w:val="20"/>
    </w:rPr>
  </w:style>
  <w:style w:type="paragraph" w:styleId="BalloonText">
    <w:name w:val="Balloon Text"/>
    <w:basedOn w:val="Normal"/>
    <w:semiHidden/>
    <w:rsid w:val="00556165"/>
    <w:rPr>
      <w:rFonts w:ascii="Tahoma" w:hAnsi="Tahoma" w:cs="Tahoma"/>
      <w:sz w:val="16"/>
      <w:szCs w:val="16"/>
    </w:rPr>
  </w:style>
  <w:style w:type="paragraph" w:customStyle="1" w:styleId="RakstzCharCharCharCharCharCharCharCharCharCharCharCharCharCharCharCharCharCharCharCharCharCharCharCharCharCharCharCharChar">
    <w:name w:val="Rakstz. Char Char Char Char Char Char Char Char Char Char Char Char Char Char Char Char Char Char Char Char Char Char Char Char Char Char Char Char Char"/>
    <w:basedOn w:val="Normal"/>
    <w:rsid w:val="00492062"/>
    <w:pPr>
      <w:spacing w:before="40"/>
    </w:pPr>
    <w:rPr>
      <w:sz w:val="20"/>
      <w:szCs w:val="20"/>
      <w:lang w:val="pl-PL" w:eastAsia="pl-PL"/>
    </w:rPr>
  </w:style>
  <w:style w:type="character" w:styleId="CommentReference">
    <w:name w:val="annotation reference"/>
    <w:rsid w:val="00194275"/>
    <w:rPr>
      <w:sz w:val="16"/>
      <w:szCs w:val="16"/>
    </w:rPr>
  </w:style>
  <w:style w:type="paragraph" w:styleId="CommentText">
    <w:name w:val="annotation text"/>
    <w:basedOn w:val="Normal"/>
    <w:link w:val="CommentTextChar"/>
    <w:rsid w:val="00194275"/>
    <w:rPr>
      <w:sz w:val="20"/>
      <w:szCs w:val="20"/>
    </w:rPr>
  </w:style>
  <w:style w:type="paragraph" w:styleId="CommentSubject">
    <w:name w:val="annotation subject"/>
    <w:basedOn w:val="CommentText"/>
    <w:next w:val="CommentText"/>
    <w:link w:val="CommentSubjectChar"/>
    <w:uiPriority w:val="99"/>
    <w:semiHidden/>
    <w:rsid w:val="00194275"/>
    <w:rPr>
      <w:b/>
      <w:bCs/>
    </w:rPr>
  </w:style>
  <w:style w:type="paragraph" w:customStyle="1" w:styleId="Rakstz">
    <w:name w:val="Rakstz."/>
    <w:basedOn w:val="Normal"/>
    <w:rsid w:val="00A93D38"/>
    <w:pPr>
      <w:spacing w:before="40"/>
    </w:pPr>
    <w:rPr>
      <w:sz w:val="20"/>
      <w:szCs w:val="20"/>
      <w:lang w:val="pl-PL" w:eastAsia="pl-PL"/>
    </w:rPr>
  </w:style>
  <w:style w:type="paragraph" w:styleId="Header">
    <w:name w:val="header"/>
    <w:basedOn w:val="Normal"/>
    <w:link w:val="HeaderChar"/>
    <w:uiPriority w:val="99"/>
    <w:rsid w:val="00782C50"/>
    <w:pPr>
      <w:tabs>
        <w:tab w:val="center" w:pos="4153"/>
        <w:tab w:val="right" w:pos="8306"/>
      </w:tabs>
    </w:pPr>
  </w:style>
  <w:style w:type="paragraph" w:customStyle="1" w:styleId="Char">
    <w:name w:val="Char"/>
    <w:basedOn w:val="Normal"/>
    <w:rsid w:val="00DF2CD4"/>
    <w:pPr>
      <w:spacing w:after="160" w:line="240" w:lineRule="exact"/>
    </w:pPr>
    <w:rPr>
      <w:rFonts w:ascii="Tahoma" w:hAnsi="Tahoma"/>
      <w:sz w:val="20"/>
      <w:szCs w:val="20"/>
      <w:lang w:val="en-US"/>
    </w:rPr>
  </w:style>
  <w:style w:type="character" w:styleId="Hyperlink">
    <w:name w:val="Hyperlink"/>
    <w:rsid w:val="00807C1E"/>
    <w:rPr>
      <w:color w:val="0000FF"/>
      <w:u w:val="single"/>
    </w:rPr>
  </w:style>
  <w:style w:type="paragraph" w:customStyle="1" w:styleId="RakstzCharCharCharCharCharCharCharCharChar">
    <w:name w:val="Rakstz. Char Char Char Char Char Char Char Char Char"/>
    <w:basedOn w:val="Normal"/>
    <w:rsid w:val="00F76908"/>
    <w:pPr>
      <w:spacing w:before="40"/>
    </w:pPr>
    <w:rPr>
      <w:sz w:val="20"/>
      <w:szCs w:val="20"/>
      <w:lang w:val="pl-PL" w:eastAsia="pl-PL"/>
    </w:rPr>
  </w:style>
  <w:style w:type="paragraph" w:customStyle="1" w:styleId="RakstzCharCharCharCharCharCharCharCharCharCharCharCharCharCharCharCharCharCharCharCharChar">
    <w:name w:val="Rakstz. Char Char Char Char Char Char Char Char Char Char Char Char Char Char Char Char Char Char Char Char Char"/>
    <w:basedOn w:val="Normal"/>
    <w:rsid w:val="00ED48A3"/>
    <w:pPr>
      <w:spacing w:before="40"/>
    </w:pPr>
    <w:rPr>
      <w:sz w:val="20"/>
      <w:szCs w:val="20"/>
      <w:lang w:val="pl-PL" w:eastAsia="pl-PL"/>
    </w:rPr>
  </w:style>
  <w:style w:type="paragraph" w:customStyle="1" w:styleId="CharCharChar">
    <w:name w:val="Char Char Char"/>
    <w:basedOn w:val="Normal"/>
    <w:rsid w:val="00BA5241"/>
    <w:pPr>
      <w:spacing w:after="160" w:line="240" w:lineRule="exact"/>
    </w:pPr>
    <w:rPr>
      <w:rFonts w:ascii="Tahoma" w:hAnsi="Tahoma"/>
      <w:sz w:val="20"/>
      <w:szCs w:val="20"/>
      <w:lang w:val="en-US"/>
    </w:rPr>
  </w:style>
  <w:style w:type="paragraph" w:customStyle="1" w:styleId="RakstzCharCharCharCharCharCharCharCharCharCharCharCharCharCharCharCharCharCharCharCharCharCharChar">
    <w:name w:val="Rakstz. Char Char Char Char Char Char Char Char Char Char Char Char Char Char Char Char Char Char Char Char Char Char Char"/>
    <w:basedOn w:val="Normal"/>
    <w:rsid w:val="00932AAE"/>
    <w:pPr>
      <w:spacing w:before="40"/>
    </w:pPr>
    <w:rPr>
      <w:sz w:val="20"/>
      <w:szCs w:val="20"/>
      <w:lang w:val="pl-PL" w:eastAsia="pl-PL"/>
    </w:rPr>
  </w:style>
  <w:style w:type="character" w:customStyle="1" w:styleId="Heading1Char">
    <w:name w:val="Heading 1 Char"/>
    <w:link w:val="Heading1"/>
    <w:rsid w:val="0063712C"/>
    <w:rPr>
      <w:rFonts w:ascii="RimTimes" w:hAnsi="RimTimes"/>
      <w:b/>
      <w:sz w:val="28"/>
      <w:lang w:val="lv-LV"/>
    </w:rPr>
  </w:style>
  <w:style w:type="character" w:styleId="FollowedHyperlink">
    <w:name w:val="FollowedHyperlink"/>
    <w:basedOn w:val="DefaultParagraphFont"/>
    <w:uiPriority w:val="99"/>
    <w:semiHidden/>
    <w:unhideWhenUsed/>
    <w:rsid w:val="004C5014"/>
    <w:rPr>
      <w:color w:val="800080"/>
      <w:u w:val="single"/>
    </w:rPr>
  </w:style>
  <w:style w:type="paragraph" w:styleId="Title">
    <w:name w:val="Title"/>
    <w:basedOn w:val="Normal"/>
    <w:link w:val="TitleChar"/>
    <w:qFormat/>
    <w:rsid w:val="00163F6A"/>
    <w:pPr>
      <w:jc w:val="center"/>
    </w:pPr>
    <w:rPr>
      <w:b/>
      <w:sz w:val="28"/>
      <w:szCs w:val="20"/>
    </w:rPr>
  </w:style>
  <w:style w:type="character" w:customStyle="1" w:styleId="TitleChar">
    <w:name w:val="Title Char"/>
    <w:basedOn w:val="DefaultParagraphFont"/>
    <w:link w:val="Title"/>
    <w:rsid w:val="00163F6A"/>
    <w:rPr>
      <w:b/>
      <w:sz w:val="28"/>
    </w:rPr>
  </w:style>
  <w:style w:type="character" w:customStyle="1" w:styleId="Heading2Char">
    <w:name w:val="Heading 2 Char"/>
    <w:basedOn w:val="DefaultParagraphFont"/>
    <w:link w:val="Heading2"/>
    <w:uiPriority w:val="9"/>
    <w:semiHidden/>
    <w:rsid w:val="0005508D"/>
    <w:rPr>
      <w:rFonts w:ascii="Cambria" w:eastAsia="Times New Roman" w:hAnsi="Cambria" w:cs="Times New Roman"/>
      <w:b/>
      <w:bCs/>
      <w:i/>
      <w:iCs/>
      <w:sz w:val="28"/>
      <w:szCs w:val="28"/>
      <w:lang w:val="lv-LV"/>
    </w:rPr>
  </w:style>
  <w:style w:type="paragraph" w:styleId="BodyTextIndent">
    <w:name w:val="Body Text Indent"/>
    <w:basedOn w:val="Normal"/>
    <w:link w:val="BodyTextIndentChar"/>
    <w:uiPriority w:val="99"/>
    <w:semiHidden/>
    <w:unhideWhenUsed/>
    <w:rsid w:val="0005508D"/>
    <w:pPr>
      <w:spacing w:after="120"/>
      <w:ind w:left="283"/>
    </w:pPr>
  </w:style>
  <w:style w:type="character" w:customStyle="1" w:styleId="BodyTextIndentChar">
    <w:name w:val="Body Text Indent Char"/>
    <w:basedOn w:val="DefaultParagraphFont"/>
    <w:link w:val="BodyTextIndent"/>
    <w:uiPriority w:val="99"/>
    <w:semiHidden/>
    <w:rsid w:val="0005508D"/>
    <w:rPr>
      <w:sz w:val="24"/>
      <w:szCs w:val="24"/>
      <w:lang w:val="lv-LV"/>
    </w:rPr>
  </w:style>
  <w:style w:type="paragraph" w:styleId="BlockText">
    <w:name w:val="Block Text"/>
    <w:basedOn w:val="Normal"/>
    <w:rsid w:val="0005508D"/>
    <w:pPr>
      <w:widowControl w:val="0"/>
      <w:ind w:left="240" w:right="2600" w:firstLine="469"/>
      <w:jc w:val="both"/>
    </w:pPr>
    <w:rPr>
      <w:snapToGrid w:val="0"/>
      <w:sz w:val="22"/>
      <w:szCs w:val="20"/>
    </w:rPr>
  </w:style>
  <w:style w:type="paragraph" w:styleId="NormalWeb">
    <w:name w:val="Normal (Web)"/>
    <w:basedOn w:val="Normal"/>
    <w:rsid w:val="0005508D"/>
    <w:pPr>
      <w:spacing w:before="100" w:after="100"/>
    </w:pPr>
    <w:rPr>
      <w:rFonts w:ascii="Arial Unicode MS" w:eastAsia="Arial Unicode MS" w:hAnsi="Arial Unicode MS"/>
      <w:color w:val="808000"/>
      <w:szCs w:val="20"/>
      <w:lang w:val="en-US"/>
    </w:rPr>
  </w:style>
  <w:style w:type="paragraph" w:styleId="Subtitle">
    <w:name w:val="Subtitle"/>
    <w:basedOn w:val="Normal"/>
    <w:link w:val="SubtitleChar"/>
    <w:qFormat/>
    <w:rsid w:val="0005508D"/>
    <w:pPr>
      <w:jc w:val="center"/>
    </w:pPr>
    <w:rPr>
      <w:i/>
      <w:szCs w:val="20"/>
    </w:rPr>
  </w:style>
  <w:style w:type="character" w:customStyle="1" w:styleId="SubtitleChar">
    <w:name w:val="Subtitle Char"/>
    <w:basedOn w:val="DefaultParagraphFont"/>
    <w:link w:val="Subtitle"/>
    <w:rsid w:val="0005508D"/>
    <w:rPr>
      <w:i/>
      <w:sz w:val="24"/>
      <w:lang w:val="lv-LV"/>
    </w:rPr>
  </w:style>
  <w:style w:type="paragraph" w:styleId="BodyText">
    <w:name w:val="Body Text"/>
    <w:basedOn w:val="Normal"/>
    <w:link w:val="BodyTextChar"/>
    <w:rsid w:val="00B80022"/>
    <w:pPr>
      <w:overflowPunct w:val="0"/>
      <w:autoSpaceDE w:val="0"/>
      <w:autoSpaceDN w:val="0"/>
      <w:adjustRightInd w:val="0"/>
      <w:spacing w:after="120"/>
      <w:textAlignment w:val="baseline"/>
    </w:pPr>
    <w:rPr>
      <w:sz w:val="20"/>
      <w:szCs w:val="20"/>
      <w:lang w:val="en-GB" w:eastAsia="lv-LV"/>
    </w:rPr>
  </w:style>
  <w:style w:type="character" w:customStyle="1" w:styleId="BodyTextChar">
    <w:name w:val="Body Text Char"/>
    <w:basedOn w:val="DefaultParagraphFont"/>
    <w:link w:val="BodyText"/>
    <w:rsid w:val="00B80022"/>
    <w:rPr>
      <w:lang w:val="en-GB" w:eastAsia="lv-LV"/>
    </w:rPr>
  </w:style>
  <w:style w:type="character" w:customStyle="1" w:styleId="Heading3Char">
    <w:name w:val="Heading 3 Char"/>
    <w:basedOn w:val="DefaultParagraphFont"/>
    <w:link w:val="Heading3"/>
    <w:uiPriority w:val="99"/>
    <w:rsid w:val="002C4F31"/>
    <w:rPr>
      <w:b/>
      <w:bCs/>
      <w:sz w:val="26"/>
      <w:szCs w:val="26"/>
      <w:lang w:val="en-GB"/>
    </w:rPr>
  </w:style>
  <w:style w:type="character" w:customStyle="1" w:styleId="Heading4Char">
    <w:name w:val="Heading 4 Char"/>
    <w:basedOn w:val="DefaultParagraphFont"/>
    <w:link w:val="Heading4"/>
    <w:uiPriority w:val="99"/>
    <w:rsid w:val="002C4F31"/>
    <w:rPr>
      <w:b/>
      <w:bCs/>
      <w:sz w:val="28"/>
      <w:szCs w:val="28"/>
      <w:lang w:val="en-GB"/>
    </w:rPr>
  </w:style>
  <w:style w:type="character" w:customStyle="1" w:styleId="Heading5Char">
    <w:name w:val="Heading 5 Char"/>
    <w:basedOn w:val="DefaultParagraphFont"/>
    <w:link w:val="Heading5"/>
    <w:uiPriority w:val="99"/>
    <w:rsid w:val="002C4F31"/>
    <w:rPr>
      <w:b/>
      <w:bCs/>
      <w:i/>
      <w:iCs/>
      <w:sz w:val="26"/>
      <w:szCs w:val="26"/>
      <w:lang w:val="en-GB"/>
    </w:rPr>
  </w:style>
  <w:style w:type="character" w:customStyle="1" w:styleId="Heading6Char">
    <w:name w:val="Heading 6 Char"/>
    <w:basedOn w:val="DefaultParagraphFont"/>
    <w:link w:val="Heading6"/>
    <w:uiPriority w:val="99"/>
    <w:rsid w:val="002C4F31"/>
    <w:rPr>
      <w:b/>
      <w:bCs/>
      <w:lang w:val="en-GB"/>
    </w:rPr>
  </w:style>
  <w:style w:type="character" w:customStyle="1" w:styleId="Heading7Char">
    <w:name w:val="Heading 7 Char"/>
    <w:basedOn w:val="DefaultParagraphFont"/>
    <w:link w:val="Heading7"/>
    <w:uiPriority w:val="99"/>
    <w:rsid w:val="002C4F31"/>
    <w:rPr>
      <w:sz w:val="24"/>
      <w:szCs w:val="24"/>
      <w:lang w:val="en-GB"/>
    </w:rPr>
  </w:style>
  <w:style w:type="character" w:customStyle="1" w:styleId="Heading8Char">
    <w:name w:val="Heading 8 Char"/>
    <w:basedOn w:val="DefaultParagraphFont"/>
    <w:link w:val="Heading8"/>
    <w:uiPriority w:val="99"/>
    <w:rsid w:val="002C4F31"/>
    <w:rPr>
      <w:i/>
      <w:iCs/>
      <w:sz w:val="24"/>
      <w:szCs w:val="24"/>
      <w:lang w:val="en-GB"/>
    </w:rPr>
  </w:style>
  <w:style w:type="character" w:customStyle="1" w:styleId="Heading9Char">
    <w:name w:val="Heading 9 Char"/>
    <w:basedOn w:val="DefaultParagraphFont"/>
    <w:link w:val="Heading9"/>
    <w:uiPriority w:val="99"/>
    <w:rsid w:val="002C4F31"/>
    <w:rPr>
      <w:rFonts w:ascii="Arial" w:hAnsi="Arial"/>
      <w:lang w:val="en-GB"/>
    </w:rPr>
  </w:style>
  <w:style w:type="character" w:customStyle="1" w:styleId="HeaderChar">
    <w:name w:val="Header Char"/>
    <w:basedOn w:val="DefaultParagraphFont"/>
    <w:link w:val="Header"/>
    <w:uiPriority w:val="99"/>
    <w:rsid w:val="00756416"/>
    <w:rPr>
      <w:sz w:val="24"/>
      <w:szCs w:val="24"/>
      <w:lang w:eastAsia="en-US"/>
    </w:rPr>
  </w:style>
  <w:style w:type="table" w:styleId="TableGrid">
    <w:name w:val="Table Grid"/>
    <w:basedOn w:val="TableNormal"/>
    <w:uiPriority w:val="59"/>
    <w:rsid w:val="008C10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020359"/>
    <w:rPr>
      <w:b/>
      <w:bCs/>
    </w:rPr>
  </w:style>
  <w:style w:type="paragraph" w:styleId="ListParagraph">
    <w:name w:val="List Paragraph"/>
    <w:aliases w:val="2"/>
    <w:basedOn w:val="Normal"/>
    <w:link w:val="ListParagraphChar"/>
    <w:uiPriority w:val="34"/>
    <w:qFormat/>
    <w:rsid w:val="008A64F4"/>
    <w:pPr>
      <w:ind w:left="720"/>
      <w:contextualSpacing/>
    </w:pPr>
  </w:style>
  <w:style w:type="character" w:customStyle="1" w:styleId="CommentTextChar">
    <w:name w:val="Comment Text Char"/>
    <w:basedOn w:val="DefaultParagraphFont"/>
    <w:link w:val="CommentText"/>
    <w:rsid w:val="00C668DD"/>
    <w:rPr>
      <w:lang w:eastAsia="en-US"/>
    </w:rPr>
  </w:style>
  <w:style w:type="character" w:customStyle="1" w:styleId="CommentSubjectChar">
    <w:name w:val="Comment Subject Char"/>
    <w:basedOn w:val="CommentTextChar"/>
    <w:link w:val="CommentSubject"/>
    <w:uiPriority w:val="99"/>
    <w:semiHidden/>
    <w:rsid w:val="00C668DD"/>
    <w:rPr>
      <w:b/>
      <w:bCs/>
      <w:lang w:eastAsia="en-US"/>
    </w:rPr>
  </w:style>
  <w:style w:type="character" w:customStyle="1" w:styleId="ListParagraphChar">
    <w:name w:val="List Paragraph Char"/>
    <w:aliases w:val="2 Char"/>
    <w:link w:val="ListParagraph"/>
    <w:uiPriority w:val="34"/>
    <w:locked/>
    <w:rsid w:val="00C668DD"/>
    <w:rPr>
      <w:sz w:val="24"/>
      <w:szCs w:val="24"/>
      <w:lang w:eastAsia="en-US"/>
    </w:rPr>
  </w:style>
  <w:style w:type="paragraph" w:styleId="Revision">
    <w:name w:val="Revision"/>
    <w:hidden/>
    <w:uiPriority w:val="99"/>
    <w:semiHidden/>
    <w:rsid w:val="00BC0BCD"/>
    <w:rPr>
      <w:sz w:val="24"/>
      <w:szCs w:val="24"/>
      <w:lang w:eastAsia="en-US"/>
    </w:rPr>
  </w:style>
  <w:style w:type="paragraph" w:styleId="FootnoteText">
    <w:name w:val="footnote text"/>
    <w:basedOn w:val="Normal"/>
    <w:link w:val="FootnoteTextChar"/>
    <w:uiPriority w:val="99"/>
    <w:semiHidden/>
    <w:unhideWhenUsed/>
    <w:rsid w:val="00B305CA"/>
    <w:rPr>
      <w:sz w:val="20"/>
      <w:szCs w:val="20"/>
    </w:rPr>
  </w:style>
  <w:style w:type="character" w:customStyle="1" w:styleId="FootnoteTextChar">
    <w:name w:val="Footnote Text Char"/>
    <w:basedOn w:val="DefaultParagraphFont"/>
    <w:link w:val="FootnoteText"/>
    <w:uiPriority w:val="99"/>
    <w:semiHidden/>
    <w:rsid w:val="00B305CA"/>
    <w:rPr>
      <w:lang w:eastAsia="en-US"/>
    </w:rPr>
  </w:style>
  <w:style w:type="character" w:styleId="FootnoteReference">
    <w:name w:val="footnote reference"/>
    <w:basedOn w:val="DefaultParagraphFont"/>
    <w:uiPriority w:val="99"/>
    <w:semiHidden/>
    <w:unhideWhenUsed/>
    <w:rsid w:val="00B305CA"/>
    <w:rPr>
      <w:vertAlign w:val="superscript"/>
    </w:rPr>
  </w:style>
  <w:style w:type="character" w:customStyle="1" w:styleId="FooterChar">
    <w:name w:val="Footer Char"/>
    <w:basedOn w:val="DefaultParagraphFont"/>
    <w:link w:val="Footer"/>
    <w:uiPriority w:val="99"/>
    <w:rsid w:val="005B03D9"/>
    <w:rPr>
      <w:sz w:val="26"/>
      <w:lang w:eastAsia="en-US"/>
    </w:rPr>
  </w:style>
  <w:style w:type="paragraph" w:customStyle="1" w:styleId="Default">
    <w:name w:val="Default"/>
    <w:rsid w:val="00AE007A"/>
    <w:pPr>
      <w:autoSpaceDE w:val="0"/>
      <w:autoSpaceDN w:val="0"/>
      <w:adjustRightInd w:val="0"/>
    </w:pPr>
    <w:rPr>
      <w:rFonts w:ascii="Cambria" w:hAnsi="Cambria" w:cs="Cambria"/>
      <w:color w:val="000000"/>
      <w:sz w:val="24"/>
      <w:szCs w:val="24"/>
    </w:rPr>
  </w:style>
  <w:style w:type="character" w:customStyle="1" w:styleId="UnresolvedMention1">
    <w:name w:val="Unresolved Mention1"/>
    <w:basedOn w:val="DefaultParagraphFont"/>
    <w:uiPriority w:val="99"/>
    <w:semiHidden/>
    <w:unhideWhenUsed/>
    <w:rsid w:val="00D8354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312206">
      <w:bodyDiv w:val="1"/>
      <w:marLeft w:val="0"/>
      <w:marRight w:val="0"/>
      <w:marTop w:val="0"/>
      <w:marBottom w:val="0"/>
      <w:divBdr>
        <w:top w:val="none" w:sz="0" w:space="0" w:color="auto"/>
        <w:left w:val="none" w:sz="0" w:space="0" w:color="auto"/>
        <w:bottom w:val="none" w:sz="0" w:space="0" w:color="auto"/>
        <w:right w:val="none" w:sz="0" w:space="0" w:color="auto"/>
      </w:divBdr>
    </w:div>
    <w:div w:id="481195425">
      <w:bodyDiv w:val="1"/>
      <w:marLeft w:val="0"/>
      <w:marRight w:val="0"/>
      <w:marTop w:val="0"/>
      <w:marBottom w:val="0"/>
      <w:divBdr>
        <w:top w:val="none" w:sz="0" w:space="0" w:color="auto"/>
        <w:left w:val="none" w:sz="0" w:space="0" w:color="auto"/>
        <w:bottom w:val="none" w:sz="0" w:space="0" w:color="auto"/>
        <w:right w:val="none" w:sz="0" w:space="0" w:color="auto"/>
      </w:divBdr>
    </w:div>
    <w:div w:id="575438002">
      <w:bodyDiv w:val="1"/>
      <w:marLeft w:val="0"/>
      <w:marRight w:val="0"/>
      <w:marTop w:val="0"/>
      <w:marBottom w:val="0"/>
      <w:divBdr>
        <w:top w:val="none" w:sz="0" w:space="0" w:color="auto"/>
        <w:left w:val="none" w:sz="0" w:space="0" w:color="auto"/>
        <w:bottom w:val="none" w:sz="0" w:space="0" w:color="auto"/>
        <w:right w:val="none" w:sz="0" w:space="0" w:color="auto"/>
      </w:divBdr>
    </w:div>
    <w:div w:id="1073553503">
      <w:bodyDiv w:val="1"/>
      <w:marLeft w:val="0"/>
      <w:marRight w:val="0"/>
      <w:marTop w:val="0"/>
      <w:marBottom w:val="0"/>
      <w:divBdr>
        <w:top w:val="none" w:sz="0" w:space="0" w:color="auto"/>
        <w:left w:val="none" w:sz="0" w:space="0" w:color="auto"/>
        <w:bottom w:val="none" w:sz="0" w:space="0" w:color="auto"/>
        <w:right w:val="none" w:sz="0" w:space="0" w:color="auto"/>
      </w:divBdr>
    </w:div>
    <w:div w:id="1085303578">
      <w:bodyDiv w:val="1"/>
      <w:marLeft w:val="0"/>
      <w:marRight w:val="0"/>
      <w:marTop w:val="0"/>
      <w:marBottom w:val="0"/>
      <w:divBdr>
        <w:top w:val="none" w:sz="0" w:space="0" w:color="auto"/>
        <w:left w:val="none" w:sz="0" w:space="0" w:color="auto"/>
        <w:bottom w:val="none" w:sz="0" w:space="0" w:color="auto"/>
        <w:right w:val="none" w:sz="0" w:space="0" w:color="auto"/>
      </w:divBdr>
    </w:div>
    <w:div w:id="1189102292">
      <w:bodyDiv w:val="1"/>
      <w:marLeft w:val="0"/>
      <w:marRight w:val="0"/>
      <w:marTop w:val="0"/>
      <w:marBottom w:val="0"/>
      <w:divBdr>
        <w:top w:val="none" w:sz="0" w:space="0" w:color="auto"/>
        <w:left w:val="none" w:sz="0" w:space="0" w:color="auto"/>
        <w:bottom w:val="none" w:sz="0" w:space="0" w:color="auto"/>
        <w:right w:val="none" w:sz="0" w:space="0" w:color="auto"/>
      </w:divBdr>
    </w:div>
    <w:div w:id="1639146947">
      <w:bodyDiv w:val="1"/>
      <w:marLeft w:val="0"/>
      <w:marRight w:val="0"/>
      <w:marTop w:val="0"/>
      <w:marBottom w:val="0"/>
      <w:divBdr>
        <w:top w:val="none" w:sz="0" w:space="0" w:color="auto"/>
        <w:left w:val="none" w:sz="0" w:space="0" w:color="auto"/>
        <w:bottom w:val="none" w:sz="0" w:space="0" w:color="auto"/>
        <w:right w:val="none" w:sz="0" w:space="0" w:color="auto"/>
      </w:divBdr>
    </w:div>
    <w:div w:id="167749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tum.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altum.lv"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cfla.gov.lv/userfiles/files/Informativais%20materials%20par%20MVU%20un%20GNU%20statusa%20noteiksanu.pdf" TargetMode="External"/><Relationship Id="rId1" Type="http://schemas.openxmlformats.org/officeDocument/2006/relationships/hyperlink" Target="http://www.altum.lv/files/mvu_paligmaterials_v1_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CC2BE1-2D7F-4F0B-A02B-047CFF0BC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2304</Words>
  <Characters>16755</Characters>
  <Application>Microsoft Office Word</Application>
  <DocSecurity>0</DocSecurity>
  <Lines>139</Lines>
  <Paragraphs>38</Paragraphs>
  <ScaleCrop>false</ScaleCrop>
  <HeadingPairs>
    <vt:vector size="2" baseType="variant">
      <vt:variant>
        <vt:lpstr>Title</vt:lpstr>
      </vt:variant>
      <vt:variant>
        <vt:i4>1</vt:i4>
      </vt:variant>
    </vt:vector>
  </HeadingPairs>
  <TitlesOfParts>
    <vt:vector size="1" baseType="lpstr">
      <vt:lpstr>”APSTIPRINU”</vt:lpstr>
    </vt:vector>
  </TitlesOfParts>
  <Company>LHZB</Company>
  <LinksUpToDate>false</LinksUpToDate>
  <CharactersWithSpaces>19021</CharactersWithSpaces>
  <SharedDoc>false</SharedDoc>
  <HLinks>
    <vt:vector size="24" baseType="variant">
      <vt:variant>
        <vt:i4>7798886</vt:i4>
      </vt:variant>
      <vt:variant>
        <vt:i4>9</vt:i4>
      </vt:variant>
      <vt:variant>
        <vt:i4>0</vt:i4>
      </vt:variant>
      <vt:variant>
        <vt:i4>5</vt:i4>
      </vt:variant>
      <vt:variant>
        <vt:lpwstr>http://www.vni.lv/</vt:lpwstr>
      </vt:variant>
      <vt:variant>
        <vt:lpwstr/>
      </vt:variant>
      <vt:variant>
        <vt:i4>1048593</vt:i4>
      </vt:variant>
      <vt:variant>
        <vt:i4>6</vt:i4>
      </vt:variant>
      <vt:variant>
        <vt:i4>0</vt:i4>
      </vt:variant>
      <vt:variant>
        <vt:i4>5</vt:i4>
      </vt:variant>
      <vt:variant>
        <vt:lpwstr>http://www.altum.lv/</vt:lpwstr>
      </vt:variant>
      <vt:variant>
        <vt:lpwstr/>
      </vt:variant>
      <vt:variant>
        <vt:i4>7798886</vt:i4>
      </vt:variant>
      <vt:variant>
        <vt:i4>3</vt:i4>
      </vt:variant>
      <vt:variant>
        <vt:i4>0</vt:i4>
      </vt:variant>
      <vt:variant>
        <vt:i4>5</vt:i4>
      </vt:variant>
      <vt:variant>
        <vt:lpwstr>http://www.vni.lv/</vt:lpwstr>
      </vt:variant>
      <vt:variant>
        <vt:lpwstr/>
      </vt:variant>
      <vt:variant>
        <vt:i4>1572987</vt:i4>
      </vt:variant>
      <vt:variant>
        <vt:i4>0</vt:i4>
      </vt:variant>
      <vt:variant>
        <vt:i4>0</vt:i4>
      </vt:variant>
      <vt:variant>
        <vt:i4>5</vt:i4>
      </vt:variant>
      <vt:variant>
        <vt:lpwstr>mailto:juris.smulders@altum.lv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”APSTIPRINU”</dc:title>
  <dc:creator>Aleksandrs Margevičs</dc:creator>
  <cp:lastModifiedBy>Elīna Dlohi</cp:lastModifiedBy>
  <cp:revision>4</cp:revision>
  <cp:lastPrinted>2019-08-12T08:00:00Z</cp:lastPrinted>
  <dcterms:created xsi:type="dcterms:W3CDTF">2019-08-28T14:46:00Z</dcterms:created>
  <dcterms:modified xsi:type="dcterms:W3CDTF">2019-09-03T07:07:00Z</dcterms:modified>
</cp:coreProperties>
</file>