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4D992" w14:textId="3BB387BF" w:rsidR="00B93EEC" w:rsidRPr="006F1B73" w:rsidRDefault="0082624B" w:rsidP="00D976E8">
      <w:pPr>
        <w:tabs>
          <w:tab w:val="right" w:pos="8640"/>
        </w:tabs>
        <w:spacing w:after="0" w:line="276" w:lineRule="auto"/>
        <w:jc w:val="center"/>
        <w:rPr>
          <w:rFonts w:ascii="Times New Roman" w:eastAsia="Calibri" w:hAnsi="Times New Roman" w:cs="Times New Roman"/>
          <w:sz w:val="28"/>
          <w:szCs w:val="28"/>
        </w:rPr>
      </w:pPr>
      <w:r w:rsidRPr="006F1B73">
        <w:rPr>
          <w:rFonts w:ascii="Times New Roman" w:eastAsia="Calibri" w:hAnsi="Times New Roman" w:cs="Times New Roman"/>
          <w:b/>
          <w:sz w:val="28"/>
          <w:szCs w:val="28"/>
        </w:rPr>
        <w:t xml:space="preserve">AS “Attīstības finanšu institūcija </w:t>
      </w:r>
      <w:proofErr w:type="spellStart"/>
      <w:r w:rsidRPr="006F1B73">
        <w:rPr>
          <w:rFonts w:ascii="Times New Roman" w:eastAsia="Calibri" w:hAnsi="Times New Roman" w:cs="Times New Roman"/>
          <w:b/>
          <w:sz w:val="28"/>
          <w:szCs w:val="28"/>
        </w:rPr>
        <w:t>Altum</w:t>
      </w:r>
      <w:proofErr w:type="spellEnd"/>
      <w:r w:rsidRPr="006F1B73">
        <w:rPr>
          <w:rFonts w:ascii="Times New Roman" w:eastAsia="Calibri" w:hAnsi="Times New Roman" w:cs="Times New Roman"/>
          <w:b/>
          <w:sz w:val="28"/>
          <w:szCs w:val="28"/>
        </w:rPr>
        <w:t>”</w:t>
      </w:r>
      <w:r w:rsidR="00D976E8" w:rsidRPr="006F1B73">
        <w:rPr>
          <w:rFonts w:ascii="Times New Roman" w:eastAsia="Calibri" w:hAnsi="Times New Roman" w:cs="Times New Roman"/>
          <w:b/>
          <w:sz w:val="28"/>
          <w:szCs w:val="28"/>
        </w:rPr>
        <w:t xml:space="preserve"> </w:t>
      </w:r>
    </w:p>
    <w:p w14:paraId="3848DA56" w14:textId="716B71CA" w:rsidR="00D976E8" w:rsidRPr="006F1B73" w:rsidRDefault="00B93EEC" w:rsidP="00D976E8">
      <w:pPr>
        <w:tabs>
          <w:tab w:val="right" w:pos="8640"/>
        </w:tabs>
        <w:spacing w:after="0" w:line="276" w:lineRule="auto"/>
        <w:jc w:val="center"/>
        <w:rPr>
          <w:rFonts w:ascii="Times New Roman" w:eastAsia="Calibri" w:hAnsi="Times New Roman" w:cs="Times New Roman"/>
          <w:sz w:val="28"/>
          <w:szCs w:val="28"/>
        </w:rPr>
      </w:pPr>
      <w:r w:rsidRPr="006F1B73">
        <w:rPr>
          <w:rFonts w:ascii="Times New Roman" w:eastAsia="Calibri" w:hAnsi="Times New Roman" w:cs="Times New Roman"/>
          <w:b/>
          <w:sz w:val="28"/>
          <w:szCs w:val="28"/>
        </w:rPr>
        <w:t>vidēja termiņa darbības stratēģijā 2016.-2018.gadam izvirzīto</w:t>
      </w:r>
      <w:r w:rsidR="00D976E8" w:rsidRPr="006F1B73">
        <w:rPr>
          <w:rFonts w:ascii="Times New Roman" w:eastAsia="Calibri" w:hAnsi="Times New Roman" w:cs="Times New Roman"/>
          <w:b/>
          <w:sz w:val="28"/>
          <w:szCs w:val="28"/>
        </w:rPr>
        <w:t xml:space="preserve"> </w:t>
      </w:r>
    </w:p>
    <w:p w14:paraId="2867DBA2" w14:textId="5D635E83" w:rsidR="00B93EEC" w:rsidRPr="006F1B73" w:rsidRDefault="00B93EEC" w:rsidP="00D976E8">
      <w:pPr>
        <w:widowControl w:val="0"/>
        <w:spacing w:after="0" w:line="240" w:lineRule="auto"/>
        <w:jc w:val="center"/>
        <w:rPr>
          <w:rFonts w:ascii="Times New Roman" w:eastAsia="Calibri" w:hAnsi="Times New Roman" w:cs="Times New Roman"/>
          <w:sz w:val="28"/>
          <w:szCs w:val="28"/>
        </w:rPr>
      </w:pPr>
      <w:r w:rsidRPr="006F1B73">
        <w:rPr>
          <w:rFonts w:ascii="Times New Roman" w:eastAsia="Calibri" w:hAnsi="Times New Roman" w:cs="Times New Roman"/>
          <w:b/>
          <w:sz w:val="28"/>
          <w:szCs w:val="28"/>
        </w:rPr>
        <w:t xml:space="preserve">finanšu un </w:t>
      </w:r>
      <w:proofErr w:type="spellStart"/>
      <w:r w:rsidRPr="006F1B73">
        <w:rPr>
          <w:rFonts w:ascii="Times New Roman" w:eastAsia="Calibri" w:hAnsi="Times New Roman" w:cs="Times New Roman"/>
          <w:b/>
          <w:sz w:val="28"/>
          <w:szCs w:val="28"/>
        </w:rPr>
        <w:t>nefinanšu</w:t>
      </w:r>
      <w:proofErr w:type="spellEnd"/>
      <w:r w:rsidRPr="006F1B73">
        <w:rPr>
          <w:rFonts w:ascii="Times New Roman" w:eastAsia="Calibri" w:hAnsi="Times New Roman" w:cs="Times New Roman"/>
          <w:b/>
          <w:sz w:val="28"/>
          <w:szCs w:val="28"/>
        </w:rPr>
        <w:t xml:space="preserve"> mērķu īstenošanas rezultāti 201</w:t>
      </w:r>
      <w:r w:rsidR="00D2608B">
        <w:rPr>
          <w:rFonts w:ascii="Times New Roman" w:eastAsia="Calibri" w:hAnsi="Times New Roman" w:cs="Times New Roman"/>
          <w:b/>
          <w:sz w:val="28"/>
          <w:szCs w:val="28"/>
        </w:rPr>
        <w:t>6 un 2015</w:t>
      </w:r>
      <w:r w:rsidR="00A275FD" w:rsidRPr="006F1B73">
        <w:rPr>
          <w:rFonts w:ascii="Times New Roman" w:eastAsia="Calibri" w:hAnsi="Times New Roman" w:cs="Times New Roman"/>
          <w:b/>
          <w:sz w:val="28"/>
          <w:szCs w:val="28"/>
        </w:rPr>
        <w:t>.</w:t>
      </w:r>
      <w:r w:rsidRPr="006F1B73">
        <w:rPr>
          <w:rFonts w:ascii="Times New Roman" w:eastAsia="Calibri" w:hAnsi="Times New Roman" w:cs="Times New Roman"/>
          <w:b/>
          <w:sz w:val="28"/>
          <w:szCs w:val="28"/>
        </w:rPr>
        <w:t xml:space="preserve"> g</w:t>
      </w:r>
      <w:r w:rsidR="00A275FD" w:rsidRPr="006F1B73">
        <w:rPr>
          <w:rFonts w:ascii="Times New Roman" w:eastAsia="Calibri" w:hAnsi="Times New Roman" w:cs="Times New Roman"/>
          <w:b/>
          <w:sz w:val="28"/>
          <w:szCs w:val="28"/>
        </w:rPr>
        <w:t>a</w:t>
      </w:r>
      <w:r w:rsidRPr="006F1B73">
        <w:rPr>
          <w:rFonts w:ascii="Times New Roman" w:eastAsia="Calibri" w:hAnsi="Times New Roman" w:cs="Times New Roman"/>
          <w:b/>
          <w:sz w:val="28"/>
          <w:szCs w:val="28"/>
        </w:rPr>
        <w:t>dā</w:t>
      </w:r>
      <w:r w:rsidR="00D976E8" w:rsidRPr="006F1B73">
        <w:rPr>
          <w:rFonts w:ascii="Times New Roman" w:eastAsia="Calibri" w:hAnsi="Times New Roman" w:cs="Times New Roman"/>
          <w:b/>
          <w:sz w:val="28"/>
          <w:szCs w:val="28"/>
        </w:rPr>
        <w:t xml:space="preserve"> </w:t>
      </w:r>
    </w:p>
    <w:p w14:paraId="480C1DDF" w14:textId="6CCA4FE4" w:rsidR="00B93EEC" w:rsidRPr="006F1B73" w:rsidRDefault="00B93EEC" w:rsidP="00B93EEC">
      <w:pPr>
        <w:widowControl w:val="0"/>
        <w:spacing w:after="0" w:line="240" w:lineRule="auto"/>
        <w:jc w:val="center"/>
        <w:rPr>
          <w:rFonts w:ascii="Times New Roman" w:eastAsia="Calibri" w:hAnsi="Times New Roman" w:cs="Times New Roman"/>
        </w:rPr>
      </w:pPr>
      <w:bookmarkStart w:id="0" w:name="_Hlk16151861"/>
    </w:p>
    <w:p w14:paraId="71CDBC30" w14:textId="23E28260" w:rsidR="00B93EEC" w:rsidRPr="003900FD" w:rsidRDefault="00D91CFF" w:rsidP="00B93EEC">
      <w:pPr>
        <w:tabs>
          <w:tab w:val="right" w:pos="8640"/>
        </w:tabs>
        <w:spacing w:before="120" w:after="120" w:line="276" w:lineRule="auto"/>
        <w:jc w:val="both"/>
        <w:rPr>
          <w:rFonts w:ascii="Times New Roman" w:eastAsia="Calibri" w:hAnsi="Times New Roman" w:cs="Times New Roman"/>
          <w:b/>
          <w:bCs/>
          <w:sz w:val="28"/>
          <w:szCs w:val="28"/>
        </w:rPr>
      </w:pPr>
      <w:bookmarkStart w:id="1" w:name="_Hlk16151899"/>
      <w:bookmarkEnd w:id="0"/>
      <w:r>
        <w:rPr>
          <w:rFonts w:ascii="Times New Roman" w:eastAsia="Calibri" w:hAnsi="Times New Roman" w:cs="Times New Roman"/>
          <w:b/>
          <w:bCs/>
          <w:sz w:val="28"/>
          <w:szCs w:val="28"/>
        </w:rPr>
        <w:t>1</w:t>
      </w:r>
      <w:r w:rsidRPr="003900FD">
        <w:rPr>
          <w:rFonts w:ascii="Times New Roman" w:eastAsia="Calibri" w:hAnsi="Times New Roman" w:cs="Times New Roman"/>
          <w:b/>
          <w:bCs/>
          <w:sz w:val="28"/>
          <w:szCs w:val="28"/>
        </w:rPr>
        <w:t xml:space="preserve">. </w:t>
      </w:r>
      <w:r w:rsidR="00B93EEC" w:rsidRPr="003900FD">
        <w:rPr>
          <w:rFonts w:ascii="Times New Roman" w:eastAsia="Calibri" w:hAnsi="Times New Roman" w:cs="Times New Roman"/>
          <w:b/>
          <w:bCs/>
          <w:sz w:val="28"/>
          <w:szCs w:val="28"/>
        </w:rPr>
        <w:t xml:space="preserve">Finanšu mērķi </w:t>
      </w:r>
    </w:p>
    <w:bookmarkEnd w:id="1"/>
    <w:p w14:paraId="7DBC0786" w14:textId="1E651349" w:rsidR="00B93EEC" w:rsidRPr="006F1B73" w:rsidRDefault="009D7747" w:rsidP="00B93EEC">
      <w:pPr>
        <w:tabs>
          <w:tab w:val="right" w:pos="8640"/>
        </w:tabs>
        <w:spacing w:before="120" w:after="120" w:line="276" w:lineRule="auto"/>
        <w:jc w:val="both"/>
        <w:rPr>
          <w:rFonts w:ascii="Times New Roman" w:eastAsia="Calibri" w:hAnsi="Times New Roman" w:cs="Times New Roman"/>
        </w:rPr>
      </w:pPr>
      <w:r w:rsidRPr="003900FD">
        <w:rPr>
          <w:rFonts w:ascii="Times New Roman" w:eastAsia="Calibri" w:hAnsi="Times New Roman" w:cs="Times New Roman"/>
        </w:rPr>
        <w:t>201</w:t>
      </w:r>
      <w:r w:rsidR="00D2608B" w:rsidRPr="003900FD">
        <w:rPr>
          <w:rFonts w:ascii="Times New Roman" w:eastAsia="Calibri" w:hAnsi="Times New Roman" w:cs="Times New Roman"/>
        </w:rPr>
        <w:t>6</w:t>
      </w:r>
      <w:r w:rsidRPr="003900FD">
        <w:rPr>
          <w:rFonts w:ascii="Times New Roman" w:eastAsia="Calibri" w:hAnsi="Times New Roman" w:cs="Times New Roman"/>
        </w:rPr>
        <w:t xml:space="preserve">.gadā ir izpildīts </w:t>
      </w:r>
      <w:proofErr w:type="spellStart"/>
      <w:r w:rsidRPr="003900FD">
        <w:rPr>
          <w:rFonts w:ascii="Times New Roman" w:eastAsia="Calibri" w:hAnsi="Times New Roman" w:cs="Times New Roman"/>
        </w:rPr>
        <w:t>Altum</w:t>
      </w:r>
      <w:proofErr w:type="spellEnd"/>
      <w:r w:rsidRPr="003900FD">
        <w:rPr>
          <w:rFonts w:ascii="Times New Roman" w:eastAsia="Calibri" w:hAnsi="Times New Roman" w:cs="Times New Roman"/>
        </w:rPr>
        <w:t xml:space="preserve"> stratēģijā noteiktais galvenais finanšu mērķis: realizējot valsts atbalsta programmas saglabāt ALTUM kapitālu</w:t>
      </w:r>
      <w:r w:rsidR="00B93EEC" w:rsidRPr="003900FD">
        <w:rPr>
          <w:rFonts w:ascii="Times New Roman" w:eastAsia="Calibri" w:hAnsi="Times New Roman" w:cs="Times New Roman"/>
        </w:rPr>
        <w:t>.</w:t>
      </w:r>
      <w:r w:rsidR="00B93EEC" w:rsidRPr="006F1B73">
        <w:rPr>
          <w:rFonts w:ascii="Times New Roman" w:eastAsia="Calibri" w:hAnsi="Times New Roman" w:cs="Times New Roman"/>
        </w:rPr>
        <w:t xml:space="preserve"> </w:t>
      </w:r>
      <w:bookmarkStart w:id="2" w:name="_Hlk16151706"/>
      <w:bookmarkStart w:id="3" w:name="_Hlk16153563"/>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1212"/>
        <w:gridCol w:w="1392"/>
        <w:gridCol w:w="1379"/>
        <w:gridCol w:w="1515"/>
        <w:gridCol w:w="1208"/>
      </w:tblGrid>
      <w:tr w:rsidR="0082624B" w:rsidRPr="006F1B73" w14:paraId="5091C393" w14:textId="77777777" w:rsidTr="00F3376C">
        <w:trPr>
          <w:trHeight w:val="470"/>
          <w:jc w:val="center"/>
        </w:trPr>
        <w:tc>
          <w:tcPr>
            <w:tcW w:w="2645" w:type="dxa"/>
            <w:shd w:val="clear" w:color="auto" w:fill="auto"/>
            <w:vAlign w:val="center"/>
            <w:hideMark/>
          </w:tcPr>
          <w:p w14:paraId="16EB5D97" w14:textId="77777777" w:rsidR="0082624B" w:rsidRPr="006F1B73" w:rsidRDefault="0082624B" w:rsidP="0082624B">
            <w:pPr>
              <w:spacing w:after="0" w:line="240" w:lineRule="auto"/>
              <w:jc w:val="center"/>
              <w:rPr>
                <w:rFonts w:ascii="Times New Roman" w:eastAsia="Times New Roman" w:hAnsi="Times New Roman" w:cs="Times New Roman"/>
                <w:lang w:eastAsia="lv-LV"/>
              </w:rPr>
            </w:pPr>
            <w:bookmarkStart w:id="4" w:name="_Hlk16171541"/>
            <w:bookmarkEnd w:id="2"/>
            <w:r w:rsidRPr="006F1B73">
              <w:rPr>
                <w:rFonts w:ascii="Times New Roman" w:eastAsia="Times New Roman" w:hAnsi="Times New Roman" w:cs="Times New Roman"/>
                <w:lang w:eastAsia="lv-LV"/>
              </w:rPr>
              <w:t>Mērķis</w:t>
            </w:r>
          </w:p>
        </w:tc>
        <w:tc>
          <w:tcPr>
            <w:tcW w:w="1212" w:type="dxa"/>
            <w:shd w:val="clear" w:color="auto" w:fill="auto"/>
            <w:vAlign w:val="center"/>
            <w:hideMark/>
          </w:tcPr>
          <w:p w14:paraId="5E7214A3" w14:textId="77777777" w:rsidR="0082624B" w:rsidRPr="006F1B73" w:rsidRDefault="0082624B" w:rsidP="0082624B">
            <w:pPr>
              <w:spacing w:after="0" w:line="240" w:lineRule="auto"/>
              <w:jc w:val="center"/>
              <w:rPr>
                <w:rFonts w:ascii="Times New Roman" w:eastAsia="Times New Roman" w:hAnsi="Times New Roman" w:cs="Times New Roman"/>
                <w:color w:val="000000"/>
                <w:lang w:eastAsia="lv-LV"/>
              </w:rPr>
            </w:pPr>
            <w:r w:rsidRPr="006F1B73">
              <w:rPr>
                <w:rFonts w:ascii="Times New Roman" w:eastAsia="Times New Roman" w:hAnsi="Times New Roman" w:cs="Times New Roman"/>
                <w:color w:val="000000"/>
                <w:lang w:eastAsia="lv-LV"/>
              </w:rPr>
              <w:t>Fakts</w:t>
            </w:r>
          </w:p>
          <w:p w14:paraId="598EA68D" w14:textId="789336C7" w:rsidR="0082624B" w:rsidRPr="006F1B73" w:rsidRDefault="0082624B" w:rsidP="0082624B">
            <w:pPr>
              <w:spacing w:after="0" w:line="240" w:lineRule="auto"/>
              <w:jc w:val="center"/>
              <w:rPr>
                <w:rFonts w:ascii="Times New Roman" w:eastAsia="Times New Roman" w:hAnsi="Times New Roman" w:cs="Times New Roman"/>
                <w:color w:val="000000"/>
                <w:lang w:eastAsia="lv-LV"/>
              </w:rPr>
            </w:pPr>
            <w:r w:rsidRPr="006F1B73">
              <w:rPr>
                <w:rFonts w:ascii="Times New Roman" w:eastAsia="Times New Roman" w:hAnsi="Times New Roman" w:cs="Times New Roman"/>
                <w:color w:val="000000"/>
                <w:lang w:eastAsia="lv-LV"/>
              </w:rPr>
              <w:t>201</w:t>
            </w:r>
            <w:r w:rsidR="003F04E6">
              <w:rPr>
                <w:rFonts w:ascii="Times New Roman" w:eastAsia="Times New Roman" w:hAnsi="Times New Roman" w:cs="Times New Roman"/>
                <w:color w:val="000000"/>
                <w:lang w:eastAsia="lv-LV"/>
              </w:rPr>
              <w:t>5</w:t>
            </w:r>
            <w:r w:rsidRPr="006F1B73">
              <w:rPr>
                <w:rFonts w:ascii="Times New Roman" w:eastAsia="Times New Roman" w:hAnsi="Times New Roman" w:cs="Times New Roman"/>
                <w:color w:val="000000"/>
                <w:lang w:eastAsia="lv-LV"/>
              </w:rPr>
              <w:t>.gadā</w:t>
            </w:r>
          </w:p>
        </w:tc>
        <w:tc>
          <w:tcPr>
            <w:tcW w:w="1392" w:type="dxa"/>
            <w:shd w:val="clear" w:color="auto" w:fill="auto"/>
            <w:vAlign w:val="center"/>
            <w:hideMark/>
          </w:tcPr>
          <w:p w14:paraId="50985A4B" w14:textId="7611AF20" w:rsidR="0082624B" w:rsidRPr="006F1B73" w:rsidRDefault="0082624B" w:rsidP="0082624B">
            <w:pPr>
              <w:spacing w:after="0" w:line="240" w:lineRule="auto"/>
              <w:jc w:val="center"/>
              <w:rPr>
                <w:rFonts w:ascii="Times New Roman" w:eastAsia="Times New Roman" w:hAnsi="Times New Roman" w:cs="Times New Roman"/>
                <w:color w:val="000000"/>
                <w:lang w:eastAsia="lv-LV"/>
              </w:rPr>
            </w:pPr>
            <w:r w:rsidRPr="006F1B73">
              <w:rPr>
                <w:rFonts w:ascii="Times New Roman" w:eastAsia="Times New Roman" w:hAnsi="Times New Roman" w:cs="Times New Roman"/>
                <w:color w:val="000000"/>
                <w:lang w:eastAsia="lv-LV"/>
              </w:rPr>
              <w:t>Plānotais 201</w:t>
            </w:r>
            <w:r w:rsidR="003F04E6">
              <w:rPr>
                <w:rFonts w:ascii="Times New Roman" w:eastAsia="Times New Roman" w:hAnsi="Times New Roman" w:cs="Times New Roman"/>
                <w:color w:val="000000"/>
                <w:lang w:eastAsia="lv-LV"/>
              </w:rPr>
              <w:t>6</w:t>
            </w:r>
            <w:r w:rsidRPr="006F1B73">
              <w:rPr>
                <w:rFonts w:ascii="Times New Roman" w:eastAsia="Times New Roman" w:hAnsi="Times New Roman" w:cs="Times New Roman"/>
                <w:color w:val="000000"/>
                <w:lang w:eastAsia="lv-LV"/>
              </w:rPr>
              <w:t>.gadam</w:t>
            </w:r>
          </w:p>
        </w:tc>
        <w:tc>
          <w:tcPr>
            <w:tcW w:w="1379" w:type="dxa"/>
            <w:shd w:val="clear" w:color="auto" w:fill="auto"/>
            <w:vAlign w:val="center"/>
            <w:hideMark/>
          </w:tcPr>
          <w:p w14:paraId="7FCCDEBC" w14:textId="6878D5B9" w:rsidR="0082624B" w:rsidRPr="006F1B73" w:rsidRDefault="0082624B" w:rsidP="0082624B">
            <w:pPr>
              <w:spacing w:after="0" w:line="240" w:lineRule="auto"/>
              <w:jc w:val="center"/>
              <w:rPr>
                <w:rFonts w:ascii="Times New Roman" w:eastAsia="Times New Roman" w:hAnsi="Times New Roman" w:cs="Times New Roman"/>
                <w:color w:val="000000"/>
                <w:lang w:eastAsia="lv-LV"/>
              </w:rPr>
            </w:pPr>
            <w:r w:rsidRPr="006F1B73">
              <w:rPr>
                <w:rFonts w:ascii="Times New Roman" w:eastAsia="Times New Roman" w:hAnsi="Times New Roman" w:cs="Times New Roman"/>
                <w:color w:val="000000"/>
                <w:lang w:eastAsia="lv-LV"/>
              </w:rPr>
              <w:t>Fakts 201</w:t>
            </w:r>
            <w:r w:rsidR="003F04E6">
              <w:rPr>
                <w:rFonts w:ascii="Times New Roman" w:eastAsia="Times New Roman" w:hAnsi="Times New Roman" w:cs="Times New Roman"/>
                <w:color w:val="000000"/>
                <w:lang w:eastAsia="lv-LV"/>
              </w:rPr>
              <w:t>6</w:t>
            </w:r>
            <w:r w:rsidRPr="006F1B73">
              <w:rPr>
                <w:rFonts w:ascii="Times New Roman" w:eastAsia="Times New Roman" w:hAnsi="Times New Roman" w:cs="Times New Roman"/>
                <w:color w:val="000000"/>
                <w:lang w:eastAsia="lv-LV"/>
              </w:rPr>
              <w:t>.gadā</w:t>
            </w:r>
          </w:p>
        </w:tc>
        <w:tc>
          <w:tcPr>
            <w:tcW w:w="1515" w:type="dxa"/>
            <w:shd w:val="clear" w:color="auto" w:fill="auto"/>
            <w:vAlign w:val="center"/>
            <w:hideMark/>
          </w:tcPr>
          <w:p w14:paraId="7189DD49" w14:textId="77777777" w:rsidR="0082624B" w:rsidRPr="006F1B73" w:rsidRDefault="0082624B" w:rsidP="0082624B">
            <w:pPr>
              <w:spacing w:after="0" w:line="240" w:lineRule="auto"/>
              <w:jc w:val="center"/>
              <w:rPr>
                <w:rFonts w:ascii="Times New Roman" w:eastAsia="Times New Roman" w:hAnsi="Times New Roman" w:cs="Times New Roman"/>
                <w:color w:val="000000"/>
                <w:lang w:eastAsia="lv-LV"/>
              </w:rPr>
            </w:pPr>
            <w:r w:rsidRPr="006F1B73">
              <w:rPr>
                <w:rFonts w:ascii="Times New Roman" w:eastAsia="Times New Roman" w:hAnsi="Times New Roman" w:cs="Times New Roman"/>
                <w:color w:val="000000"/>
                <w:lang w:eastAsia="lv-LV"/>
              </w:rPr>
              <w:t>Novirze no plānotā</w:t>
            </w:r>
          </w:p>
        </w:tc>
        <w:tc>
          <w:tcPr>
            <w:tcW w:w="1208" w:type="dxa"/>
            <w:shd w:val="clear" w:color="auto" w:fill="auto"/>
            <w:vAlign w:val="center"/>
            <w:hideMark/>
          </w:tcPr>
          <w:p w14:paraId="50FB37A0" w14:textId="77777777" w:rsidR="0082624B" w:rsidRPr="006F1B73" w:rsidRDefault="0082624B" w:rsidP="0082624B">
            <w:pPr>
              <w:spacing w:after="0" w:line="240" w:lineRule="auto"/>
              <w:jc w:val="center"/>
              <w:rPr>
                <w:rFonts w:ascii="Times New Roman" w:eastAsia="Times New Roman" w:hAnsi="Times New Roman" w:cs="Times New Roman"/>
                <w:color w:val="000000"/>
                <w:lang w:eastAsia="lv-LV"/>
              </w:rPr>
            </w:pPr>
            <w:r w:rsidRPr="006F1B73">
              <w:rPr>
                <w:rFonts w:ascii="Times New Roman" w:eastAsia="Times New Roman" w:hAnsi="Times New Roman" w:cs="Times New Roman"/>
                <w:color w:val="000000"/>
                <w:lang w:eastAsia="lv-LV"/>
              </w:rPr>
              <w:t>Novirze no plānotā, %</w:t>
            </w:r>
          </w:p>
        </w:tc>
      </w:tr>
      <w:tr w:rsidR="0082624B" w:rsidRPr="006F1B73" w14:paraId="61F1BE1C" w14:textId="77777777" w:rsidTr="00F3376C">
        <w:trPr>
          <w:trHeight w:val="311"/>
          <w:jc w:val="center"/>
        </w:trPr>
        <w:tc>
          <w:tcPr>
            <w:tcW w:w="2645" w:type="dxa"/>
            <w:shd w:val="clear" w:color="auto" w:fill="auto"/>
            <w:vAlign w:val="center"/>
          </w:tcPr>
          <w:p w14:paraId="0308BF10" w14:textId="77777777" w:rsidR="0082624B" w:rsidRPr="006F1B73" w:rsidRDefault="0082624B" w:rsidP="0082624B">
            <w:pPr>
              <w:widowControl w:val="0"/>
              <w:spacing w:after="0" w:line="240" w:lineRule="auto"/>
              <w:rPr>
                <w:rFonts w:ascii="Times New Roman" w:eastAsia="Calibri" w:hAnsi="Times New Roman" w:cs="Times New Roman"/>
              </w:rPr>
            </w:pPr>
            <w:r w:rsidRPr="006F1B73">
              <w:rPr>
                <w:rFonts w:ascii="Times New Roman" w:eastAsia="Calibri" w:hAnsi="Times New Roman" w:cs="Times New Roman"/>
              </w:rPr>
              <w:t xml:space="preserve">Pašu kapitāla </w:t>
            </w:r>
            <w:proofErr w:type="spellStart"/>
            <w:r w:rsidRPr="006F1B73">
              <w:rPr>
                <w:rFonts w:ascii="Times New Roman" w:eastAsia="Calibri" w:hAnsi="Times New Roman" w:cs="Times New Roman"/>
              </w:rPr>
              <w:t>atdeve</w:t>
            </w:r>
            <w:proofErr w:type="spellEnd"/>
            <w:r w:rsidRPr="006F1B73">
              <w:rPr>
                <w:rFonts w:ascii="Times New Roman" w:eastAsia="Calibri" w:hAnsi="Times New Roman" w:cs="Times New Roman"/>
              </w:rPr>
              <w:t xml:space="preserve"> (ROE)</w:t>
            </w:r>
          </w:p>
        </w:tc>
        <w:tc>
          <w:tcPr>
            <w:tcW w:w="1212" w:type="dxa"/>
            <w:shd w:val="clear" w:color="auto" w:fill="auto"/>
            <w:vAlign w:val="center"/>
          </w:tcPr>
          <w:p w14:paraId="0196886E" w14:textId="2D4A61C8" w:rsidR="0082624B" w:rsidRPr="00F3376C" w:rsidRDefault="003D2322" w:rsidP="0082624B">
            <w:pPr>
              <w:widowControl w:val="0"/>
              <w:spacing w:after="0" w:line="240" w:lineRule="auto"/>
              <w:jc w:val="center"/>
              <w:rPr>
                <w:rFonts w:ascii="Times New Roman" w:eastAsia="Calibri" w:hAnsi="Times New Roman" w:cs="Times New Roman"/>
                <w:sz w:val="24"/>
                <w:szCs w:val="24"/>
                <w:highlight w:val="yellow"/>
              </w:rPr>
            </w:pPr>
            <w:r w:rsidRPr="00F3376C">
              <w:rPr>
                <w:rFonts w:ascii="Times New Roman" w:eastAsia="Calibri" w:hAnsi="Times New Roman" w:cs="Times New Roman"/>
                <w:sz w:val="24"/>
                <w:szCs w:val="24"/>
              </w:rPr>
              <w:t>1</w:t>
            </w:r>
            <w:r w:rsidR="006A1C9D" w:rsidRPr="00F3376C">
              <w:rPr>
                <w:rFonts w:ascii="Times New Roman" w:eastAsia="Calibri" w:hAnsi="Times New Roman" w:cs="Times New Roman"/>
                <w:sz w:val="24"/>
                <w:szCs w:val="24"/>
              </w:rPr>
              <w:t>.</w:t>
            </w:r>
            <w:r w:rsidR="00F3376C" w:rsidRPr="00F3376C">
              <w:rPr>
                <w:rFonts w:ascii="Times New Roman" w:eastAsia="Calibri" w:hAnsi="Times New Roman" w:cs="Times New Roman"/>
                <w:sz w:val="24"/>
                <w:szCs w:val="24"/>
              </w:rPr>
              <w:t>10</w:t>
            </w:r>
            <w:r w:rsidR="0082624B" w:rsidRPr="00F3376C">
              <w:rPr>
                <w:rFonts w:ascii="Times New Roman" w:eastAsia="Calibri" w:hAnsi="Times New Roman" w:cs="Times New Roman"/>
                <w:sz w:val="24"/>
                <w:szCs w:val="24"/>
              </w:rPr>
              <w:t>%</w:t>
            </w:r>
          </w:p>
        </w:tc>
        <w:tc>
          <w:tcPr>
            <w:tcW w:w="1392" w:type="dxa"/>
            <w:shd w:val="clear" w:color="auto" w:fill="auto"/>
            <w:vAlign w:val="center"/>
          </w:tcPr>
          <w:p w14:paraId="06FC9F9C" w14:textId="764ED478" w:rsidR="0082624B" w:rsidRPr="00F3376C" w:rsidRDefault="0082624B" w:rsidP="0082624B">
            <w:pPr>
              <w:widowControl w:val="0"/>
              <w:spacing w:after="0" w:line="240" w:lineRule="auto"/>
              <w:jc w:val="center"/>
              <w:rPr>
                <w:rFonts w:ascii="Times New Roman" w:eastAsia="Calibri" w:hAnsi="Times New Roman" w:cs="Times New Roman"/>
                <w:sz w:val="24"/>
                <w:szCs w:val="24"/>
                <w:highlight w:val="yellow"/>
              </w:rPr>
            </w:pPr>
            <w:r w:rsidRPr="00F3376C">
              <w:rPr>
                <w:rFonts w:ascii="Times New Roman" w:eastAsia="Calibri" w:hAnsi="Times New Roman" w:cs="Times New Roman"/>
                <w:sz w:val="24"/>
                <w:szCs w:val="24"/>
              </w:rPr>
              <w:t>0,</w:t>
            </w:r>
            <w:r w:rsidR="00F3376C" w:rsidRPr="00F3376C">
              <w:rPr>
                <w:rFonts w:ascii="Times New Roman" w:eastAsia="Calibri" w:hAnsi="Times New Roman" w:cs="Times New Roman"/>
                <w:sz w:val="24"/>
                <w:szCs w:val="24"/>
              </w:rPr>
              <w:t>78</w:t>
            </w:r>
            <w:r w:rsidRPr="00F3376C">
              <w:rPr>
                <w:rFonts w:ascii="Times New Roman" w:eastAsia="Calibri" w:hAnsi="Times New Roman" w:cs="Times New Roman"/>
                <w:sz w:val="24"/>
                <w:szCs w:val="24"/>
              </w:rPr>
              <w:t>%</w:t>
            </w:r>
          </w:p>
        </w:tc>
        <w:tc>
          <w:tcPr>
            <w:tcW w:w="1379" w:type="dxa"/>
            <w:shd w:val="clear" w:color="auto" w:fill="auto"/>
            <w:vAlign w:val="center"/>
          </w:tcPr>
          <w:p w14:paraId="2483DE43" w14:textId="0C096C78" w:rsidR="0082624B" w:rsidRPr="00F3376C" w:rsidRDefault="00F3376C" w:rsidP="0082624B">
            <w:pPr>
              <w:widowControl w:val="0"/>
              <w:spacing w:after="0" w:line="240" w:lineRule="auto"/>
              <w:jc w:val="center"/>
              <w:rPr>
                <w:rFonts w:ascii="Times New Roman" w:eastAsia="Calibri" w:hAnsi="Times New Roman" w:cs="Times New Roman"/>
                <w:sz w:val="24"/>
                <w:szCs w:val="24"/>
                <w:highlight w:val="yellow"/>
              </w:rPr>
            </w:pPr>
            <w:r w:rsidRPr="00F3376C">
              <w:rPr>
                <w:rFonts w:ascii="Times New Roman" w:eastAsia="Calibri" w:hAnsi="Times New Roman" w:cs="Times New Roman"/>
                <w:sz w:val="24"/>
                <w:szCs w:val="24"/>
              </w:rPr>
              <w:t>1</w:t>
            </w:r>
            <w:r w:rsidR="0082624B" w:rsidRPr="00F3376C">
              <w:rPr>
                <w:rFonts w:ascii="Times New Roman" w:eastAsia="Calibri" w:hAnsi="Times New Roman" w:cs="Times New Roman"/>
                <w:sz w:val="24"/>
                <w:szCs w:val="24"/>
              </w:rPr>
              <w:t>,</w:t>
            </w:r>
            <w:r w:rsidRPr="00F3376C">
              <w:rPr>
                <w:rFonts w:ascii="Times New Roman" w:eastAsia="Calibri" w:hAnsi="Times New Roman" w:cs="Times New Roman"/>
                <w:sz w:val="24"/>
                <w:szCs w:val="24"/>
              </w:rPr>
              <w:t>95</w:t>
            </w:r>
            <w:r w:rsidR="0082624B" w:rsidRPr="00F3376C">
              <w:rPr>
                <w:rFonts w:ascii="Times New Roman" w:eastAsia="Calibri" w:hAnsi="Times New Roman" w:cs="Times New Roman"/>
                <w:sz w:val="24"/>
                <w:szCs w:val="24"/>
              </w:rPr>
              <w:t>%</w:t>
            </w:r>
          </w:p>
        </w:tc>
        <w:tc>
          <w:tcPr>
            <w:tcW w:w="1515" w:type="dxa"/>
            <w:shd w:val="clear" w:color="auto" w:fill="auto"/>
            <w:vAlign w:val="center"/>
          </w:tcPr>
          <w:p w14:paraId="71F278B3" w14:textId="6BDBA40A" w:rsidR="0082624B" w:rsidRPr="00F3376C" w:rsidRDefault="0082624B" w:rsidP="0082624B">
            <w:pPr>
              <w:widowControl w:val="0"/>
              <w:spacing w:after="0" w:line="240" w:lineRule="auto"/>
              <w:jc w:val="center"/>
              <w:rPr>
                <w:rFonts w:ascii="Times New Roman" w:eastAsia="Calibri" w:hAnsi="Times New Roman" w:cs="Times New Roman"/>
                <w:sz w:val="24"/>
                <w:szCs w:val="24"/>
                <w:highlight w:val="yellow"/>
              </w:rPr>
            </w:pPr>
            <w:r w:rsidRPr="00F3376C">
              <w:rPr>
                <w:rFonts w:ascii="Times New Roman" w:eastAsia="Calibri" w:hAnsi="Times New Roman" w:cs="Times New Roman"/>
                <w:sz w:val="24"/>
                <w:szCs w:val="24"/>
              </w:rPr>
              <w:t>+</w:t>
            </w:r>
            <w:r w:rsidR="00F3376C" w:rsidRPr="00F3376C">
              <w:rPr>
                <w:rFonts w:ascii="Times New Roman" w:eastAsia="Calibri" w:hAnsi="Times New Roman" w:cs="Times New Roman"/>
                <w:sz w:val="24"/>
                <w:szCs w:val="24"/>
              </w:rPr>
              <w:t>1</w:t>
            </w:r>
            <w:r w:rsidR="006A1C9D" w:rsidRPr="00F3376C">
              <w:rPr>
                <w:rFonts w:ascii="Times New Roman" w:eastAsia="Calibri" w:hAnsi="Times New Roman" w:cs="Times New Roman"/>
                <w:sz w:val="24"/>
                <w:szCs w:val="24"/>
              </w:rPr>
              <w:t>.</w:t>
            </w:r>
            <w:r w:rsidR="00F3376C" w:rsidRPr="00F3376C">
              <w:rPr>
                <w:rFonts w:ascii="Times New Roman" w:eastAsia="Calibri" w:hAnsi="Times New Roman" w:cs="Times New Roman"/>
                <w:sz w:val="24"/>
                <w:szCs w:val="24"/>
              </w:rPr>
              <w:t>17</w:t>
            </w:r>
            <w:r w:rsidRPr="00F3376C">
              <w:rPr>
                <w:rFonts w:ascii="Times New Roman" w:eastAsia="Calibri" w:hAnsi="Times New Roman" w:cs="Times New Roman"/>
                <w:sz w:val="24"/>
                <w:szCs w:val="24"/>
              </w:rPr>
              <w:t xml:space="preserve"> </w:t>
            </w:r>
          </w:p>
        </w:tc>
        <w:tc>
          <w:tcPr>
            <w:tcW w:w="1208" w:type="dxa"/>
            <w:shd w:val="clear" w:color="auto" w:fill="auto"/>
            <w:vAlign w:val="center"/>
          </w:tcPr>
          <w:p w14:paraId="7E0D5E90" w14:textId="52EA6281" w:rsidR="0082624B" w:rsidRPr="00F3376C" w:rsidRDefault="0082624B" w:rsidP="0082624B">
            <w:pPr>
              <w:widowControl w:val="0"/>
              <w:spacing w:after="0" w:line="240" w:lineRule="auto"/>
              <w:jc w:val="center"/>
              <w:rPr>
                <w:rFonts w:ascii="Times New Roman" w:eastAsia="Calibri" w:hAnsi="Times New Roman" w:cs="Times New Roman"/>
                <w:sz w:val="24"/>
                <w:szCs w:val="24"/>
                <w:highlight w:val="yellow"/>
              </w:rPr>
            </w:pPr>
            <w:r w:rsidRPr="00F3376C">
              <w:rPr>
                <w:rFonts w:ascii="Times New Roman" w:eastAsia="Calibri" w:hAnsi="Times New Roman" w:cs="Times New Roman"/>
                <w:sz w:val="24"/>
                <w:szCs w:val="24"/>
              </w:rPr>
              <w:t>+</w:t>
            </w:r>
            <w:r w:rsidR="00F3376C" w:rsidRPr="00F3376C">
              <w:rPr>
                <w:rFonts w:ascii="Times New Roman" w:eastAsia="Calibri" w:hAnsi="Times New Roman" w:cs="Times New Roman"/>
                <w:sz w:val="24"/>
                <w:szCs w:val="24"/>
              </w:rPr>
              <w:t>150</w:t>
            </w:r>
            <w:r w:rsidRPr="00F3376C">
              <w:rPr>
                <w:rFonts w:ascii="Times New Roman" w:eastAsia="Calibri" w:hAnsi="Times New Roman" w:cs="Times New Roman"/>
                <w:sz w:val="24"/>
                <w:szCs w:val="24"/>
              </w:rPr>
              <w:t>%</w:t>
            </w:r>
          </w:p>
        </w:tc>
      </w:tr>
      <w:tr w:rsidR="00F3376C" w:rsidRPr="006F1B73" w14:paraId="6F5862D8" w14:textId="77777777" w:rsidTr="00F3376C">
        <w:trPr>
          <w:trHeight w:val="311"/>
          <w:jc w:val="center"/>
        </w:trPr>
        <w:tc>
          <w:tcPr>
            <w:tcW w:w="2645" w:type="dxa"/>
            <w:shd w:val="clear" w:color="auto" w:fill="auto"/>
            <w:vAlign w:val="center"/>
          </w:tcPr>
          <w:p w14:paraId="1217257F" w14:textId="77777777" w:rsidR="00F3376C" w:rsidRPr="006F1B73" w:rsidRDefault="00F3376C" w:rsidP="00F3376C">
            <w:pPr>
              <w:widowControl w:val="0"/>
              <w:spacing w:after="0" w:line="240" w:lineRule="auto"/>
              <w:rPr>
                <w:rFonts w:ascii="Times New Roman" w:eastAsia="Calibri" w:hAnsi="Times New Roman" w:cs="Times New Roman"/>
              </w:rPr>
            </w:pPr>
            <w:r w:rsidRPr="006F1B73">
              <w:rPr>
                <w:rFonts w:ascii="Times New Roman" w:eastAsia="Calibri" w:hAnsi="Times New Roman" w:cs="Times New Roman"/>
              </w:rPr>
              <w:t>Peļņa vai zaudējumi, EUR</w:t>
            </w:r>
          </w:p>
        </w:tc>
        <w:tc>
          <w:tcPr>
            <w:tcW w:w="1212" w:type="dxa"/>
            <w:shd w:val="clear" w:color="auto" w:fill="auto"/>
          </w:tcPr>
          <w:p w14:paraId="1D062D24" w14:textId="42CF3CE8" w:rsidR="00F3376C" w:rsidRPr="00F3376C" w:rsidRDefault="00F3376C" w:rsidP="00F3376C">
            <w:pPr>
              <w:widowControl w:val="0"/>
              <w:spacing w:after="0" w:line="240" w:lineRule="auto"/>
              <w:jc w:val="center"/>
              <w:rPr>
                <w:rFonts w:ascii="Times New Roman" w:eastAsia="Calibri" w:hAnsi="Times New Roman" w:cs="Times New Roman"/>
                <w:sz w:val="24"/>
                <w:szCs w:val="24"/>
              </w:rPr>
            </w:pPr>
            <w:r w:rsidRPr="00F3376C">
              <w:rPr>
                <w:rFonts w:ascii="Times New Roman" w:hAnsi="Times New Roman" w:cs="Times New Roman"/>
                <w:sz w:val="24"/>
                <w:szCs w:val="24"/>
              </w:rPr>
              <w:t>2 756 881</w:t>
            </w:r>
          </w:p>
        </w:tc>
        <w:tc>
          <w:tcPr>
            <w:tcW w:w="1392" w:type="dxa"/>
            <w:shd w:val="clear" w:color="auto" w:fill="auto"/>
          </w:tcPr>
          <w:p w14:paraId="10FE73CE" w14:textId="46639DF6" w:rsidR="00F3376C" w:rsidRPr="00F3376C" w:rsidRDefault="00F3376C" w:rsidP="00F3376C">
            <w:pPr>
              <w:widowControl w:val="0"/>
              <w:spacing w:after="0" w:line="240" w:lineRule="auto"/>
              <w:jc w:val="center"/>
              <w:rPr>
                <w:rFonts w:ascii="Times New Roman" w:eastAsia="Calibri" w:hAnsi="Times New Roman" w:cs="Times New Roman"/>
                <w:sz w:val="24"/>
                <w:szCs w:val="24"/>
              </w:rPr>
            </w:pPr>
            <w:r w:rsidRPr="00F3376C">
              <w:rPr>
                <w:rFonts w:ascii="Times New Roman" w:hAnsi="Times New Roman" w:cs="Times New Roman"/>
                <w:sz w:val="24"/>
                <w:szCs w:val="24"/>
              </w:rPr>
              <w:t>1 736 000</w:t>
            </w:r>
          </w:p>
        </w:tc>
        <w:tc>
          <w:tcPr>
            <w:tcW w:w="1379" w:type="dxa"/>
            <w:shd w:val="clear" w:color="auto" w:fill="auto"/>
          </w:tcPr>
          <w:p w14:paraId="0CAD6262" w14:textId="4E650ED3" w:rsidR="00F3376C" w:rsidRPr="00F3376C" w:rsidRDefault="00F3376C" w:rsidP="00F3376C">
            <w:pPr>
              <w:widowControl w:val="0"/>
              <w:spacing w:after="0" w:line="240" w:lineRule="auto"/>
              <w:jc w:val="center"/>
              <w:rPr>
                <w:rFonts w:ascii="Times New Roman" w:eastAsia="Calibri" w:hAnsi="Times New Roman" w:cs="Times New Roman"/>
                <w:sz w:val="24"/>
                <w:szCs w:val="24"/>
              </w:rPr>
            </w:pPr>
            <w:r w:rsidRPr="00F3376C">
              <w:rPr>
                <w:rFonts w:ascii="Times New Roman" w:hAnsi="Times New Roman" w:cs="Times New Roman"/>
                <w:sz w:val="24"/>
                <w:szCs w:val="24"/>
              </w:rPr>
              <w:t>4 024 833</w:t>
            </w:r>
          </w:p>
        </w:tc>
        <w:tc>
          <w:tcPr>
            <w:tcW w:w="1515" w:type="dxa"/>
            <w:shd w:val="clear" w:color="auto" w:fill="auto"/>
          </w:tcPr>
          <w:p w14:paraId="72A3F415" w14:textId="6CBB34FC" w:rsidR="00F3376C" w:rsidRPr="00F3376C" w:rsidRDefault="00F3376C" w:rsidP="00F3376C">
            <w:pPr>
              <w:widowControl w:val="0"/>
              <w:spacing w:after="0" w:line="240" w:lineRule="auto"/>
              <w:jc w:val="center"/>
              <w:rPr>
                <w:rFonts w:ascii="Times New Roman" w:eastAsia="Calibri" w:hAnsi="Times New Roman" w:cs="Times New Roman"/>
                <w:sz w:val="24"/>
                <w:szCs w:val="24"/>
              </w:rPr>
            </w:pPr>
            <w:r w:rsidRPr="00F3376C">
              <w:rPr>
                <w:rFonts w:ascii="Times New Roman" w:hAnsi="Times New Roman" w:cs="Times New Roman"/>
                <w:sz w:val="24"/>
                <w:szCs w:val="24"/>
              </w:rPr>
              <w:t xml:space="preserve">+2 288 833 </w:t>
            </w:r>
          </w:p>
        </w:tc>
        <w:tc>
          <w:tcPr>
            <w:tcW w:w="1208" w:type="dxa"/>
            <w:shd w:val="clear" w:color="auto" w:fill="auto"/>
          </w:tcPr>
          <w:p w14:paraId="16D7C976" w14:textId="3D1B9518" w:rsidR="00F3376C" w:rsidRPr="00F3376C" w:rsidRDefault="00F3376C" w:rsidP="00F3376C">
            <w:pPr>
              <w:widowControl w:val="0"/>
              <w:spacing w:after="0" w:line="240" w:lineRule="auto"/>
              <w:jc w:val="center"/>
              <w:rPr>
                <w:rFonts w:ascii="Times New Roman" w:eastAsia="Calibri" w:hAnsi="Times New Roman" w:cs="Times New Roman"/>
                <w:sz w:val="24"/>
                <w:szCs w:val="24"/>
              </w:rPr>
            </w:pPr>
            <w:r w:rsidRPr="00F3376C">
              <w:rPr>
                <w:rFonts w:ascii="Times New Roman" w:hAnsi="Times New Roman" w:cs="Times New Roman"/>
                <w:sz w:val="24"/>
                <w:szCs w:val="24"/>
              </w:rPr>
              <w:t>+132%</w:t>
            </w:r>
          </w:p>
        </w:tc>
      </w:tr>
      <w:tr w:rsidR="00F3376C" w:rsidRPr="006F1B73" w14:paraId="206BDC56" w14:textId="77777777" w:rsidTr="00F3376C">
        <w:trPr>
          <w:trHeight w:val="311"/>
          <w:jc w:val="center"/>
        </w:trPr>
        <w:tc>
          <w:tcPr>
            <w:tcW w:w="2645" w:type="dxa"/>
            <w:shd w:val="clear" w:color="auto" w:fill="auto"/>
            <w:vAlign w:val="center"/>
          </w:tcPr>
          <w:p w14:paraId="2CD4F467" w14:textId="77777777" w:rsidR="00F3376C" w:rsidRPr="006F1B73" w:rsidRDefault="00F3376C" w:rsidP="00F3376C">
            <w:pPr>
              <w:widowControl w:val="0"/>
              <w:spacing w:after="0" w:line="240" w:lineRule="auto"/>
              <w:rPr>
                <w:rFonts w:ascii="Times New Roman" w:eastAsia="Calibri" w:hAnsi="Times New Roman" w:cs="Times New Roman"/>
              </w:rPr>
            </w:pPr>
            <w:r w:rsidRPr="006F1B73">
              <w:rPr>
                <w:rFonts w:ascii="Times New Roman" w:eastAsia="Calibri" w:hAnsi="Times New Roman" w:cs="Times New Roman"/>
              </w:rPr>
              <w:t>Pašu kapitāls (gada beigās), EUR</w:t>
            </w:r>
          </w:p>
        </w:tc>
        <w:tc>
          <w:tcPr>
            <w:tcW w:w="1212" w:type="dxa"/>
            <w:shd w:val="clear" w:color="auto" w:fill="auto"/>
          </w:tcPr>
          <w:p w14:paraId="00B0D7AF" w14:textId="161DD63A" w:rsidR="00F3376C" w:rsidRPr="00F3376C" w:rsidRDefault="00F3376C" w:rsidP="00F3376C">
            <w:pPr>
              <w:widowControl w:val="0"/>
              <w:spacing w:after="0" w:line="240" w:lineRule="auto"/>
              <w:jc w:val="center"/>
              <w:rPr>
                <w:rFonts w:ascii="Times New Roman" w:eastAsia="Calibri" w:hAnsi="Times New Roman" w:cs="Times New Roman"/>
                <w:highlight w:val="yellow"/>
              </w:rPr>
            </w:pPr>
            <w:r w:rsidRPr="00F3376C">
              <w:rPr>
                <w:rFonts w:ascii="Times New Roman" w:hAnsi="Times New Roman" w:cs="Times New Roman"/>
              </w:rPr>
              <w:t>201 058 263</w:t>
            </w:r>
          </w:p>
        </w:tc>
        <w:tc>
          <w:tcPr>
            <w:tcW w:w="1392" w:type="dxa"/>
            <w:shd w:val="clear" w:color="auto" w:fill="auto"/>
          </w:tcPr>
          <w:p w14:paraId="1B4EF3E6" w14:textId="2BD6F5CB" w:rsidR="00F3376C" w:rsidRPr="00F3376C" w:rsidRDefault="00F3376C" w:rsidP="00F3376C">
            <w:pPr>
              <w:widowControl w:val="0"/>
              <w:spacing w:after="0" w:line="240" w:lineRule="auto"/>
              <w:jc w:val="center"/>
              <w:rPr>
                <w:rFonts w:ascii="Times New Roman" w:eastAsia="Calibri" w:hAnsi="Times New Roman" w:cs="Times New Roman"/>
                <w:highlight w:val="yellow"/>
              </w:rPr>
            </w:pPr>
            <w:r w:rsidRPr="00F3376C">
              <w:rPr>
                <w:rFonts w:ascii="Times New Roman" w:hAnsi="Times New Roman" w:cs="Times New Roman"/>
              </w:rPr>
              <w:t>205 863 000</w:t>
            </w:r>
          </w:p>
        </w:tc>
        <w:tc>
          <w:tcPr>
            <w:tcW w:w="1379" w:type="dxa"/>
            <w:shd w:val="clear" w:color="auto" w:fill="auto"/>
          </w:tcPr>
          <w:p w14:paraId="3EEF6F2F" w14:textId="4DD25068" w:rsidR="00F3376C" w:rsidRPr="00F3376C" w:rsidRDefault="00F3376C" w:rsidP="00F3376C">
            <w:pPr>
              <w:widowControl w:val="0"/>
              <w:spacing w:after="0" w:line="240" w:lineRule="auto"/>
              <w:jc w:val="center"/>
              <w:rPr>
                <w:rFonts w:ascii="Times New Roman" w:eastAsia="Calibri" w:hAnsi="Times New Roman" w:cs="Times New Roman"/>
                <w:highlight w:val="yellow"/>
              </w:rPr>
            </w:pPr>
            <w:r w:rsidRPr="00F3376C">
              <w:rPr>
                <w:rFonts w:ascii="Times New Roman" w:hAnsi="Times New Roman" w:cs="Times New Roman"/>
              </w:rPr>
              <w:t>211 068 457</w:t>
            </w:r>
          </w:p>
        </w:tc>
        <w:tc>
          <w:tcPr>
            <w:tcW w:w="1515" w:type="dxa"/>
            <w:shd w:val="clear" w:color="auto" w:fill="auto"/>
          </w:tcPr>
          <w:p w14:paraId="02893EFF" w14:textId="42315F12" w:rsidR="00F3376C" w:rsidRPr="00F3376C" w:rsidRDefault="00F3376C" w:rsidP="00F3376C">
            <w:pPr>
              <w:widowControl w:val="0"/>
              <w:spacing w:after="0" w:line="240" w:lineRule="auto"/>
              <w:jc w:val="center"/>
              <w:rPr>
                <w:rFonts w:ascii="Times New Roman" w:eastAsia="Calibri" w:hAnsi="Times New Roman" w:cs="Times New Roman"/>
                <w:highlight w:val="yellow"/>
              </w:rPr>
            </w:pPr>
            <w:r w:rsidRPr="00F3376C">
              <w:rPr>
                <w:rFonts w:ascii="Times New Roman" w:hAnsi="Times New Roman" w:cs="Times New Roman"/>
              </w:rPr>
              <w:t>+5 205 457</w:t>
            </w:r>
          </w:p>
        </w:tc>
        <w:tc>
          <w:tcPr>
            <w:tcW w:w="1208" w:type="dxa"/>
            <w:shd w:val="clear" w:color="auto" w:fill="auto"/>
          </w:tcPr>
          <w:p w14:paraId="6642816B" w14:textId="2D23A16A" w:rsidR="00F3376C" w:rsidRPr="00F3376C" w:rsidRDefault="00F3376C" w:rsidP="00F3376C">
            <w:pPr>
              <w:widowControl w:val="0"/>
              <w:spacing w:after="0" w:line="240" w:lineRule="auto"/>
              <w:jc w:val="center"/>
              <w:rPr>
                <w:rFonts w:ascii="Times New Roman" w:eastAsia="Calibri" w:hAnsi="Times New Roman" w:cs="Times New Roman"/>
                <w:highlight w:val="yellow"/>
              </w:rPr>
            </w:pPr>
            <w:r w:rsidRPr="00F3376C">
              <w:rPr>
                <w:rFonts w:ascii="Times New Roman" w:hAnsi="Times New Roman" w:cs="Times New Roman"/>
              </w:rPr>
              <w:t>+3%</w:t>
            </w:r>
          </w:p>
        </w:tc>
      </w:tr>
      <w:tr w:rsidR="003D2322" w:rsidRPr="006F1B73" w14:paraId="6282D995" w14:textId="77777777" w:rsidTr="00F3376C">
        <w:trPr>
          <w:trHeight w:val="876"/>
          <w:jc w:val="center"/>
        </w:trPr>
        <w:tc>
          <w:tcPr>
            <w:tcW w:w="2645" w:type="dxa"/>
            <w:shd w:val="clear" w:color="auto" w:fill="auto"/>
            <w:vAlign w:val="center"/>
          </w:tcPr>
          <w:p w14:paraId="64F0A063" w14:textId="77777777" w:rsidR="003D2322" w:rsidRPr="006F1B73" w:rsidRDefault="003D2322" w:rsidP="003D2322">
            <w:pPr>
              <w:widowControl w:val="0"/>
              <w:spacing w:after="0" w:line="240" w:lineRule="auto"/>
              <w:rPr>
                <w:rFonts w:ascii="Times New Roman" w:eastAsia="Calibri" w:hAnsi="Times New Roman" w:cs="Times New Roman"/>
              </w:rPr>
            </w:pPr>
            <w:r w:rsidRPr="006F1B73">
              <w:rPr>
                <w:rFonts w:ascii="Times New Roman" w:eastAsia="Calibri" w:hAnsi="Times New Roman" w:cs="Times New Roman"/>
              </w:rPr>
              <w:t>Likviditātes rādītājs (6 mēnešu saistību segums ar likvīdajiem aktīviem)</w:t>
            </w:r>
          </w:p>
        </w:tc>
        <w:tc>
          <w:tcPr>
            <w:tcW w:w="1212" w:type="dxa"/>
            <w:shd w:val="clear" w:color="auto" w:fill="auto"/>
          </w:tcPr>
          <w:p w14:paraId="7E45EB4D" w14:textId="608232D5" w:rsidR="003D2322" w:rsidRPr="00F3376C" w:rsidRDefault="00F3376C" w:rsidP="003D2322">
            <w:pPr>
              <w:widowControl w:val="0"/>
              <w:spacing w:after="0" w:line="240" w:lineRule="auto"/>
              <w:jc w:val="center"/>
              <w:rPr>
                <w:rFonts w:ascii="Times New Roman" w:eastAsia="Calibri" w:hAnsi="Times New Roman" w:cs="Times New Roman"/>
                <w:sz w:val="24"/>
                <w:szCs w:val="24"/>
              </w:rPr>
            </w:pPr>
            <w:r w:rsidRPr="00F3376C">
              <w:rPr>
                <w:rFonts w:ascii="Times New Roman" w:hAnsi="Times New Roman" w:cs="Times New Roman"/>
              </w:rPr>
              <w:t>418</w:t>
            </w:r>
            <w:r w:rsidR="003D2322" w:rsidRPr="00F3376C">
              <w:rPr>
                <w:rFonts w:ascii="Times New Roman" w:hAnsi="Times New Roman" w:cs="Times New Roman"/>
              </w:rPr>
              <w:t>%</w:t>
            </w:r>
          </w:p>
        </w:tc>
        <w:tc>
          <w:tcPr>
            <w:tcW w:w="1392" w:type="dxa"/>
            <w:shd w:val="clear" w:color="auto" w:fill="auto"/>
          </w:tcPr>
          <w:p w14:paraId="5B60D40B" w14:textId="6F5364B6" w:rsidR="003D2322" w:rsidRPr="00F3376C" w:rsidRDefault="00F3376C" w:rsidP="003D2322">
            <w:pPr>
              <w:widowControl w:val="0"/>
              <w:spacing w:after="0" w:line="240" w:lineRule="auto"/>
              <w:jc w:val="center"/>
              <w:rPr>
                <w:rFonts w:ascii="Times New Roman" w:eastAsia="Calibri" w:hAnsi="Times New Roman" w:cs="Times New Roman"/>
              </w:rPr>
            </w:pPr>
            <w:r w:rsidRPr="00F3376C">
              <w:rPr>
                <w:rFonts w:ascii="Times New Roman" w:hAnsi="Times New Roman" w:cs="Times New Roman"/>
              </w:rPr>
              <w:t>516</w:t>
            </w:r>
            <w:r w:rsidR="003D2322" w:rsidRPr="00F3376C">
              <w:rPr>
                <w:rFonts w:ascii="Times New Roman" w:hAnsi="Times New Roman" w:cs="Times New Roman"/>
              </w:rPr>
              <w:t>%           (riska limits  &gt;=50%)</w:t>
            </w:r>
          </w:p>
        </w:tc>
        <w:tc>
          <w:tcPr>
            <w:tcW w:w="1379" w:type="dxa"/>
            <w:shd w:val="clear" w:color="auto" w:fill="auto"/>
          </w:tcPr>
          <w:p w14:paraId="2CB39991" w14:textId="44BB3380" w:rsidR="003D2322" w:rsidRPr="00F3376C" w:rsidRDefault="00F3376C" w:rsidP="003D2322">
            <w:pPr>
              <w:widowControl w:val="0"/>
              <w:spacing w:after="0" w:line="240" w:lineRule="auto"/>
              <w:jc w:val="center"/>
              <w:rPr>
                <w:rFonts w:ascii="Times New Roman" w:eastAsia="Calibri" w:hAnsi="Times New Roman" w:cs="Times New Roman"/>
              </w:rPr>
            </w:pPr>
            <w:r w:rsidRPr="00F3376C">
              <w:rPr>
                <w:rFonts w:ascii="Times New Roman" w:hAnsi="Times New Roman" w:cs="Times New Roman"/>
              </w:rPr>
              <w:t>620</w:t>
            </w:r>
            <w:r w:rsidR="003D2322" w:rsidRPr="00F3376C">
              <w:rPr>
                <w:rFonts w:ascii="Times New Roman" w:hAnsi="Times New Roman" w:cs="Times New Roman"/>
              </w:rPr>
              <w:t>%</w:t>
            </w:r>
          </w:p>
        </w:tc>
        <w:tc>
          <w:tcPr>
            <w:tcW w:w="1515" w:type="dxa"/>
            <w:shd w:val="clear" w:color="auto" w:fill="auto"/>
          </w:tcPr>
          <w:p w14:paraId="011714EA" w14:textId="56CAB3F2" w:rsidR="003D2322" w:rsidRPr="007F1EFB" w:rsidRDefault="003D2322" w:rsidP="003D2322">
            <w:pPr>
              <w:widowControl w:val="0"/>
              <w:spacing w:after="0" w:line="240" w:lineRule="auto"/>
              <w:jc w:val="center"/>
              <w:rPr>
                <w:rFonts w:ascii="Times New Roman" w:eastAsia="Calibri" w:hAnsi="Times New Roman" w:cs="Times New Roman"/>
              </w:rPr>
            </w:pPr>
            <w:r w:rsidRPr="007F1EFB">
              <w:rPr>
                <w:rFonts w:ascii="Times New Roman" w:hAnsi="Times New Roman" w:cs="Times New Roman"/>
              </w:rPr>
              <w:t>+</w:t>
            </w:r>
            <w:r w:rsidR="00F3376C" w:rsidRPr="007F1EFB">
              <w:rPr>
                <w:rFonts w:ascii="Times New Roman" w:hAnsi="Times New Roman" w:cs="Times New Roman"/>
              </w:rPr>
              <w:t>104</w:t>
            </w:r>
            <w:r w:rsidRPr="007F1EFB">
              <w:rPr>
                <w:rFonts w:ascii="Times New Roman" w:hAnsi="Times New Roman" w:cs="Times New Roman"/>
              </w:rPr>
              <w:t>%          (pret limitu +</w:t>
            </w:r>
            <w:r w:rsidR="00F3376C" w:rsidRPr="007F1EFB">
              <w:rPr>
                <w:rFonts w:ascii="Times New Roman" w:hAnsi="Times New Roman" w:cs="Times New Roman"/>
              </w:rPr>
              <w:t>570</w:t>
            </w:r>
            <w:r w:rsidRPr="007F1EFB">
              <w:rPr>
                <w:rFonts w:ascii="Times New Roman" w:hAnsi="Times New Roman" w:cs="Times New Roman"/>
              </w:rPr>
              <w:t>%)</w:t>
            </w:r>
          </w:p>
        </w:tc>
        <w:tc>
          <w:tcPr>
            <w:tcW w:w="1208" w:type="dxa"/>
            <w:shd w:val="clear" w:color="auto" w:fill="auto"/>
          </w:tcPr>
          <w:p w14:paraId="6D8A0230" w14:textId="3BACFC9C" w:rsidR="003D2322" w:rsidRPr="00F3376C" w:rsidRDefault="003D2322" w:rsidP="003D2322">
            <w:pPr>
              <w:widowControl w:val="0"/>
              <w:spacing w:after="0" w:line="240" w:lineRule="auto"/>
              <w:jc w:val="center"/>
              <w:rPr>
                <w:rFonts w:ascii="Times New Roman" w:eastAsia="Calibri" w:hAnsi="Times New Roman" w:cs="Times New Roman"/>
              </w:rPr>
            </w:pPr>
            <w:r w:rsidRPr="00F3376C">
              <w:rPr>
                <w:rFonts w:ascii="Times New Roman" w:hAnsi="Times New Roman" w:cs="Times New Roman"/>
              </w:rPr>
              <w:t>+</w:t>
            </w:r>
            <w:r w:rsidR="00F3376C" w:rsidRPr="00F3376C">
              <w:rPr>
                <w:rFonts w:ascii="Times New Roman" w:hAnsi="Times New Roman" w:cs="Times New Roman"/>
              </w:rPr>
              <w:t>20</w:t>
            </w:r>
            <w:r w:rsidRPr="00F3376C">
              <w:rPr>
                <w:rFonts w:ascii="Times New Roman" w:hAnsi="Times New Roman" w:cs="Times New Roman"/>
              </w:rPr>
              <w:t xml:space="preserve">%;    </w:t>
            </w:r>
          </w:p>
        </w:tc>
      </w:tr>
      <w:tr w:rsidR="006F1B73" w:rsidRPr="006F1B73" w14:paraId="4C1EEB2D" w14:textId="77777777" w:rsidTr="00F3376C">
        <w:trPr>
          <w:trHeight w:val="311"/>
          <w:jc w:val="center"/>
        </w:trPr>
        <w:tc>
          <w:tcPr>
            <w:tcW w:w="2645" w:type="dxa"/>
            <w:shd w:val="clear" w:color="auto" w:fill="auto"/>
            <w:vAlign w:val="center"/>
          </w:tcPr>
          <w:p w14:paraId="50E20EF5" w14:textId="77777777" w:rsidR="006F1B73" w:rsidRPr="006F1B73" w:rsidRDefault="006F1B73" w:rsidP="006F1B73">
            <w:pPr>
              <w:widowControl w:val="0"/>
              <w:spacing w:after="0" w:line="240" w:lineRule="auto"/>
              <w:rPr>
                <w:rFonts w:ascii="Times New Roman" w:eastAsia="Calibri" w:hAnsi="Times New Roman" w:cs="Times New Roman"/>
              </w:rPr>
            </w:pPr>
            <w:r w:rsidRPr="006F1B73">
              <w:rPr>
                <w:rFonts w:ascii="Times New Roman" w:eastAsia="Calibri" w:hAnsi="Times New Roman" w:cs="Times New Roman"/>
              </w:rPr>
              <w:t>Kapitāla pietiekamības rādītājs</w:t>
            </w:r>
          </w:p>
        </w:tc>
        <w:tc>
          <w:tcPr>
            <w:tcW w:w="1212" w:type="dxa"/>
            <w:shd w:val="clear" w:color="auto" w:fill="auto"/>
          </w:tcPr>
          <w:p w14:paraId="0B64A114" w14:textId="5E9621D2" w:rsidR="006F1B73" w:rsidRPr="00F3376C" w:rsidRDefault="006F1B73" w:rsidP="006F1B73">
            <w:pPr>
              <w:widowControl w:val="0"/>
              <w:spacing w:after="0" w:line="240" w:lineRule="auto"/>
              <w:jc w:val="center"/>
              <w:rPr>
                <w:rFonts w:ascii="Times New Roman" w:eastAsia="Calibri" w:hAnsi="Times New Roman" w:cs="Times New Roman"/>
              </w:rPr>
            </w:pPr>
            <w:r w:rsidRPr="00F3376C">
              <w:rPr>
                <w:rFonts w:ascii="Times New Roman" w:hAnsi="Times New Roman" w:cs="Times New Roman"/>
              </w:rPr>
              <w:t>4</w:t>
            </w:r>
            <w:r w:rsidR="00F3376C" w:rsidRPr="00F3376C">
              <w:rPr>
                <w:rFonts w:ascii="Times New Roman" w:hAnsi="Times New Roman" w:cs="Times New Roman"/>
              </w:rPr>
              <w:t>4</w:t>
            </w:r>
            <w:r w:rsidRPr="00F3376C">
              <w:rPr>
                <w:rFonts w:ascii="Times New Roman" w:hAnsi="Times New Roman" w:cs="Times New Roman"/>
              </w:rPr>
              <w:t>.</w:t>
            </w:r>
            <w:r w:rsidR="00F3376C" w:rsidRPr="00F3376C">
              <w:rPr>
                <w:rFonts w:ascii="Times New Roman" w:hAnsi="Times New Roman" w:cs="Times New Roman"/>
              </w:rPr>
              <w:t>81</w:t>
            </w:r>
            <w:r w:rsidRPr="00F3376C">
              <w:rPr>
                <w:rFonts w:ascii="Times New Roman" w:hAnsi="Times New Roman" w:cs="Times New Roman"/>
              </w:rPr>
              <w:t>%</w:t>
            </w:r>
          </w:p>
        </w:tc>
        <w:tc>
          <w:tcPr>
            <w:tcW w:w="1392" w:type="dxa"/>
            <w:shd w:val="clear" w:color="auto" w:fill="auto"/>
          </w:tcPr>
          <w:p w14:paraId="2E84281A" w14:textId="086335BD" w:rsidR="006F1B73" w:rsidRPr="00F3376C" w:rsidRDefault="00F3376C" w:rsidP="006F1B73">
            <w:pPr>
              <w:widowControl w:val="0"/>
              <w:spacing w:after="0" w:line="240" w:lineRule="auto"/>
              <w:jc w:val="center"/>
              <w:rPr>
                <w:rFonts w:ascii="Times New Roman" w:eastAsia="Calibri" w:hAnsi="Times New Roman" w:cs="Times New Roman"/>
              </w:rPr>
            </w:pPr>
            <w:r w:rsidRPr="00F3376C">
              <w:rPr>
                <w:rFonts w:ascii="Times New Roman" w:hAnsi="Times New Roman" w:cs="Times New Roman"/>
              </w:rPr>
              <w:t>40</w:t>
            </w:r>
            <w:r w:rsidR="006F1B73" w:rsidRPr="00F3376C">
              <w:rPr>
                <w:rFonts w:ascii="Times New Roman" w:hAnsi="Times New Roman" w:cs="Times New Roman"/>
              </w:rPr>
              <w:t>.</w:t>
            </w:r>
            <w:r w:rsidRPr="00F3376C">
              <w:rPr>
                <w:rFonts w:ascii="Times New Roman" w:hAnsi="Times New Roman" w:cs="Times New Roman"/>
              </w:rPr>
              <w:t>17</w:t>
            </w:r>
            <w:r w:rsidR="006F1B73" w:rsidRPr="00F3376C">
              <w:rPr>
                <w:rFonts w:ascii="Times New Roman" w:hAnsi="Times New Roman" w:cs="Times New Roman"/>
              </w:rPr>
              <w:t xml:space="preserve">%       (limits&gt;18%)      </w:t>
            </w:r>
          </w:p>
        </w:tc>
        <w:tc>
          <w:tcPr>
            <w:tcW w:w="1379" w:type="dxa"/>
            <w:shd w:val="clear" w:color="auto" w:fill="auto"/>
          </w:tcPr>
          <w:p w14:paraId="1F032AE4" w14:textId="6EE9770D" w:rsidR="006F1B73" w:rsidRPr="00AF3FE5" w:rsidRDefault="00F3376C" w:rsidP="006F1B73">
            <w:pPr>
              <w:widowControl w:val="0"/>
              <w:spacing w:after="0" w:line="240" w:lineRule="auto"/>
              <w:jc w:val="center"/>
              <w:rPr>
                <w:rFonts w:ascii="Times New Roman" w:eastAsia="Calibri" w:hAnsi="Times New Roman" w:cs="Times New Roman"/>
                <w:highlight w:val="yellow"/>
              </w:rPr>
            </w:pPr>
            <w:r w:rsidRPr="00F3376C">
              <w:rPr>
                <w:rFonts w:ascii="Times New Roman" w:hAnsi="Times New Roman" w:cs="Times New Roman"/>
              </w:rPr>
              <w:t>41</w:t>
            </w:r>
            <w:r w:rsidR="006F1B73" w:rsidRPr="00F3376C">
              <w:rPr>
                <w:rFonts w:ascii="Times New Roman" w:hAnsi="Times New Roman" w:cs="Times New Roman"/>
              </w:rPr>
              <w:t>.</w:t>
            </w:r>
            <w:r w:rsidRPr="00F3376C">
              <w:rPr>
                <w:rFonts w:ascii="Times New Roman" w:hAnsi="Times New Roman" w:cs="Times New Roman"/>
              </w:rPr>
              <w:t>50</w:t>
            </w:r>
            <w:r w:rsidR="006F1B73" w:rsidRPr="00F3376C">
              <w:rPr>
                <w:rFonts w:ascii="Times New Roman" w:hAnsi="Times New Roman" w:cs="Times New Roman"/>
              </w:rPr>
              <w:t>%</w:t>
            </w:r>
          </w:p>
        </w:tc>
        <w:tc>
          <w:tcPr>
            <w:tcW w:w="1515" w:type="dxa"/>
            <w:shd w:val="clear" w:color="auto" w:fill="auto"/>
          </w:tcPr>
          <w:p w14:paraId="57911E34" w14:textId="6E2AB7F3" w:rsidR="006F1B73" w:rsidRPr="007F1EFB" w:rsidRDefault="006F1B73" w:rsidP="006F1B73">
            <w:pPr>
              <w:widowControl w:val="0"/>
              <w:spacing w:after="0" w:line="240" w:lineRule="auto"/>
              <w:jc w:val="center"/>
              <w:rPr>
                <w:rFonts w:ascii="Times New Roman" w:eastAsia="Calibri" w:hAnsi="Times New Roman" w:cs="Times New Roman"/>
              </w:rPr>
            </w:pPr>
            <w:r w:rsidRPr="007F1EFB">
              <w:rPr>
                <w:rFonts w:ascii="Times New Roman" w:hAnsi="Times New Roman" w:cs="Times New Roman"/>
              </w:rPr>
              <w:t>+</w:t>
            </w:r>
            <w:r w:rsidR="00F3376C" w:rsidRPr="007F1EFB">
              <w:rPr>
                <w:rFonts w:ascii="Times New Roman" w:hAnsi="Times New Roman" w:cs="Times New Roman"/>
              </w:rPr>
              <w:t>1</w:t>
            </w:r>
            <w:r w:rsidRPr="007F1EFB">
              <w:rPr>
                <w:rFonts w:ascii="Times New Roman" w:hAnsi="Times New Roman" w:cs="Times New Roman"/>
              </w:rPr>
              <w:t>.</w:t>
            </w:r>
            <w:r w:rsidR="00F3376C" w:rsidRPr="007F1EFB">
              <w:rPr>
                <w:rFonts w:ascii="Times New Roman" w:hAnsi="Times New Roman" w:cs="Times New Roman"/>
              </w:rPr>
              <w:t>33</w:t>
            </w:r>
            <w:r w:rsidRPr="007F1EFB">
              <w:rPr>
                <w:rFonts w:ascii="Times New Roman" w:hAnsi="Times New Roman" w:cs="Times New Roman"/>
              </w:rPr>
              <w:t>%       (pret limitu +2</w:t>
            </w:r>
            <w:r w:rsidR="007F1EFB" w:rsidRPr="007F1EFB">
              <w:rPr>
                <w:rFonts w:ascii="Times New Roman" w:hAnsi="Times New Roman" w:cs="Times New Roman"/>
              </w:rPr>
              <w:t>3</w:t>
            </w:r>
            <w:r w:rsidRPr="007F1EFB">
              <w:rPr>
                <w:rFonts w:ascii="Times New Roman" w:hAnsi="Times New Roman" w:cs="Times New Roman"/>
              </w:rPr>
              <w:t>.</w:t>
            </w:r>
            <w:r w:rsidR="007F1EFB" w:rsidRPr="007F1EFB">
              <w:rPr>
                <w:rFonts w:ascii="Times New Roman" w:hAnsi="Times New Roman" w:cs="Times New Roman"/>
              </w:rPr>
              <w:t>50</w:t>
            </w:r>
            <w:r w:rsidRPr="007F1EFB">
              <w:rPr>
                <w:rFonts w:ascii="Times New Roman" w:hAnsi="Times New Roman" w:cs="Times New Roman"/>
              </w:rPr>
              <w:t xml:space="preserve">%)  </w:t>
            </w:r>
          </w:p>
        </w:tc>
        <w:tc>
          <w:tcPr>
            <w:tcW w:w="1208" w:type="dxa"/>
            <w:shd w:val="clear" w:color="auto" w:fill="auto"/>
          </w:tcPr>
          <w:p w14:paraId="7540A5A0" w14:textId="7334373E" w:rsidR="006F1B73" w:rsidRPr="00AF3FE5" w:rsidRDefault="006F1B73" w:rsidP="006F1B73">
            <w:pPr>
              <w:widowControl w:val="0"/>
              <w:spacing w:after="0" w:line="240" w:lineRule="auto"/>
              <w:jc w:val="center"/>
              <w:rPr>
                <w:rFonts w:ascii="Times New Roman" w:eastAsia="Calibri" w:hAnsi="Times New Roman" w:cs="Times New Roman"/>
                <w:highlight w:val="yellow"/>
              </w:rPr>
            </w:pPr>
            <w:r w:rsidRPr="00F3376C">
              <w:rPr>
                <w:rFonts w:ascii="Times New Roman" w:hAnsi="Times New Roman" w:cs="Times New Roman"/>
              </w:rPr>
              <w:t>+</w:t>
            </w:r>
            <w:r w:rsidR="00F3376C" w:rsidRPr="00F3376C">
              <w:rPr>
                <w:rFonts w:ascii="Times New Roman" w:hAnsi="Times New Roman" w:cs="Times New Roman"/>
              </w:rPr>
              <w:t>23</w:t>
            </w:r>
            <w:r w:rsidRPr="00F3376C">
              <w:rPr>
                <w:rFonts w:ascii="Times New Roman" w:hAnsi="Times New Roman" w:cs="Times New Roman"/>
              </w:rPr>
              <w:t>.</w:t>
            </w:r>
            <w:r w:rsidR="00F3376C" w:rsidRPr="00F3376C">
              <w:rPr>
                <w:rFonts w:ascii="Times New Roman" w:hAnsi="Times New Roman" w:cs="Times New Roman"/>
              </w:rPr>
              <w:t>50</w:t>
            </w:r>
            <w:r w:rsidRPr="00F3376C">
              <w:rPr>
                <w:rFonts w:ascii="Times New Roman" w:hAnsi="Times New Roman" w:cs="Times New Roman"/>
              </w:rPr>
              <w:t>%</w:t>
            </w:r>
          </w:p>
        </w:tc>
      </w:tr>
      <w:bookmarkEnd w:id="4"/>
    </w:tbl>
    <w:p w14:paraId="5D282845" w14:textId="15E8C863" w:rsidR="00D976E8" w:rsidRPr="006F1B73" w:rsidRDefault="00D976E8" w:rsidP="00D976E8">
      <w:pPr>
        <w:widowControl w:val="0"/>
        <w:spacing w:after="0" w:line="240" w:lineRule="auto"/>
        <w:rPr>
          <w:rFonts w:ascii="Times New Roman" w:eastAsia="Calibri" w:hAnsi="Times New Roman" w:cs="Times New Roman"/>
        </w:rPr>
      </w:pPr>
    </w:p>
    <w:p w14:paraId="04CF9675" w14:textId="11D7B71C" w:rsidR="009D7747" w:rsidRPr="006F1B73" w:rsidRDefault="009D7747" w:rsidP="009D7747">
      <w:pPr>
        <w:spacing w:after="120"/>
        <w:jc w:val="both"/>
        <w:rPr>
          <w:rFonts w:ascii="Times New Roman" w:hAnsi="Times New Roman"/>
          <w:sz w:val="24"/>
          <w:szCs w:val="24"/>
        </w:rPr>
      </w:pPr>
      <w:r w:rsidRPr="006F1B73">
        <w:rPr>
          <w:rFonts w:ascii="Times New Roman" w:hAnsi="Times New Roman"/>
          <w:sz w:val="24"/>
          <w:szCs w:val="24"/>
        </w:rPr>
        <w:t xml:space="preserve">Pārsniegti finanšu mērķi raksturojošie rādītāji. </w:t>
      </w:r>
    </w:p>
    <w:p w14:paraId="14054151" w14:textId="77777777" w:rsidR="00D2608B" w:rsidRPr="009D00C4" w:rsidRDefault="00D2608B" w:rsidP="00D2608B">
      <w:pPr>
        <w:pStyle w:val="ListParagraph"/>
        <w:numPr>
          <w:ilvl w:val="0"/>
          <w:numId w:val="1"/>
        </w:numPr>
        <w:ind w:left="357" w:hanging="357"/>
        <w:contextualSpacing w:val="0"/>
        <w:jc w:val="both"/>
        <w:rPr>
          <w:rFonts w:ascii="Times New Roman" w:hAnsi="Times New Roman"/>
          <w:sz w:val="24"/>
          <w:szCs w:val="24"/>
        </w:rPr>
      </w:pPr>
      <w:bookmarkStart w:id="5" w:name="_Hlk482779743"/>
      <w:r w:rsidRPr="009D00C4">
        <w:rPr>
          <w:rFonts w:ascii="Times New Roman" w:hAnsi="Times New Roman"/>
          <w:sz w:val="24"/>
          <w:szCs w:val="24"/>
          <w:u w:val="single"/>
        </w:rPr>
        <w:t xml:space="preserve">Finanšu mērķa </w:t>
      </w:r>
      <w:r>
        <w:rPr>
          <w:rFonts w:ascii="Times New Roman" w:hAnsi="Times New Roman"/>
          <w:sz w:val="24"/>
          <w:szCs w:val="24"/>
          <w:u w:val="single"/>
        </w:rPr>
        <w:t xml:space="preserve">rādītājs Nr. 1. Pašu kapitāla </w:t>
      </w:r>
      <w:proofErr w:type="spellStart"/>
      <w:r>
        <w:rPr>
          <w:rFonts w:ascii="Times New Roman" w:hAnsi="Times New Roman"/>
          <w:sz w:val="24"/>
          <w:szCs w:val="24"/>
          <w:u w:val="single"/>
        </w:rPr>
        <w:t>at</w:t>
      </w:r>
      <w:r w:rsidRPr="009D00C4">
        <w:rPr>
          <w:rFonts w:ascii="Times New Roman" w:hAnsi="Times New Roman"/>
          <w:sz w:val="24"/>
          <w:szCs w:val="24"/>
          <w:u w:val="single"/>
        </w:rPr>
        <w:t>deve</w:t>
      </w:r>
      <w:proofErr w:type="spellEnd"/>
      <w:r w:rsidRPr="009D00C4">
        <w:rPr>
          <w:rFonts w:ascii="Times New Roman" w:hAnsi="Times New Roman"/>
          <w:sz w:val="24"/>
          <w:szCs w:val="24"/>
          <w:u w:val="single"/>
        </w:rPr>
        <w:t xml:space="preserve"> (ROE). </w:t>
      </w:r>
      <w:bookmarkStart w:id="6" w:name="_Hlk483215917"/>
      <w:bookmarkEnd w:id="5"/>
    </w:p>
    <w:p w14:paraId="28A77939" w14:textId="77777777" w:rsidR="00D2608B" w:rsidRPr="00604378" w:rsidRDefault="00D2608B" w:rsidP="00D2608B">
      <w:pPr>
        <w:pStyle w:val="ListParagraph"/>
        <w:spacing w:after="120"/>
        <w:ind w:left="357"/>
        <w:contextualSpacing w:val="0"/>
        <w:jc w:val="both"/>
        <w:rPr>
          <w:rFonts w:ascii="Times New Roman" w:hAnsi="Times New Roman"/>
          <w:sz w:val="24"/>
          <w:szCs w:val="24"/>
        </w:rPr>
      </w:pPr>
      <w:r w:rsidRPr="009D00C4">
        <w:rPr>
          <w:rFonts w:ascii="Times New Roman" w:hAnsi="Times New Roman"/>
          <w:sz w:val="24"/>
          <w:szCs w:val="24"/>
        </w:rPr>
        <w:t xml:space="preserve">Sasniegtais rādītājs 1,95% ir </w:t>
      </w:r>
      <w:r>
        <w:rPr>
          <w:rFonts w:ascii="Times New Roman" w:hAnsi="Times New Roman"/>
          <w:sz w:val="24"/>
          <w:szCs w:val="24"/>
        </w:rPr>
        <w:t>būtiski -</w:t>
      </w:r>
      <w:r w:rsidRPr="009D00C4">
        <w:rPr>
          <w:rFonts w:ascii="Times New Roman" w:hAnsi="Times New Roman"/>
          <w:sz w:val="24"/>
          <w:szCs w:val="24"/>
        </w:rPr>
        <w:t xml:space="preserve"> par 1,17%, augstāks par Stratēģijā plānoto 0,78</w:t>
      </w:r>
      <w:bookmarkStart w:id="7" w:name="_Hlk482781365"/>
      <w:r w:rsidRPr="009D00C4">
        <w:rPr>
          <w:rFonts w:ascii="Times New Roman" w:hAnsi="Times New Roman"/>
          <w:sz w:val="24"/>
          <w:szCs w:val="24"/>
        </w:rPr>
        <w:t xml:space="preserve">% (Budžetā plānots 0.57%). ROE aprēķināts izmantojot 2016.gada vidējo pašu kapitālu 206’063 tūkst. EUR </w:t>
      </w:r>
      <w:bookmarkStart w:id="8" w:name="_Hlk483222345"/>
      <w:r w:rsidRPr="009D00C4">
        <w:rPr>
          <w:rFonts w:ascii="Times New Roman" w:hAnsi="Times New Roman"/>
          <w:sz w:val="24"/>
          <w:szCs w:val="24"/>
        </w:rPr>
        <w:t>(31.12.2015</w:t>
      </w:r>
      <w:r>
        <w:rPr>
          <w:rFonts w:ascii="Times New Roman" w:hAnsi="Times New Roman"/>
          <w:sz w:val="24"/>
          <w:szCs w:val="24"/>
        </w:rPr>
        <w:t xml:space="preserve"> -</w:t>
      </w:r>
      <w:r w:rsidRPr="009D00C4">
        <w:rPr>
          <w:rFonts w:ascii="Times New Roman" w:hAnsi="Times New Roman"/>
          <w:sz w:val="24"/>
          <w:szCs w:val="24"/>
        </w:rPr>
        <w:t xml:space="preserve"> 201'058 tūkst. EUR, 31.12.2016</w:t>
      </w:r>
      <w:r>
        <w:rPr>
          <w:rFonts w:ascii="Times New Roman" w:hAnsi="Times New Roman"/>
          <w:sz w:val="24"/>
          <w:szCs w:val="24"/>
        </w:rPr>
        <w:t xml:space="preserve"> - </w:t>
      </w:r>
      <w:r w:rsidRPr="009D00C4">
        <w:rPr>
          <w:rFonts w:ascii="Times New Roman" w:hAnsi="Times New Roman"/>
          <w:sz w:val="24"/>
          <w:szCs w:val="24"/>
        </w:rPr>
        <w:t xml:space="preserve"> 211'068 tūkst. EUR).</w:t>
      </w:r>
      <w:bookmarkEnd w:id="8"/>
      <w:r>
        <w:rPr>
          <w:rFonts w:ascii="Times New Roman" w:hAnsi="Times New Roman"/>
          <w:sz w:val="24"/>
          <w:szCs w:val="24"/>
        </w:rPr>
        <w:t xml:space="preserve"> </w:t>
      </w:r>
      <w:bookmarkEnd w:id="6"/>
    </w:p>
    <w:bookmarkEnd w:id="7"/>
    <w:p w14:paraId="3BE24D69" w14:textId="77777777" w:rsidR="00D2608B" w:rsidRPr="00604378" w:rsidRDefault="00D2608B" w:rsidP="00D2608B">
      <w:pPr>
        <w:jc w:val="both"/>
        <w:rPr>
          <w:rFonts w:ascii="Times New Roman" w:hAnsi="Times New Roman"/>
          <w:sz w:val="24"/>
          <w:szCs w:val="24"/>
        </w:rPr>
      </w:pPr>
      <w:r w:rsidRPr="00604378">
        <w:rPr>
          <w:rFonts w:ascii="Times New Roman" w:hAnsi="Times New Roman"/>
          <w:sz w:val="24"/>
          <w:szCs w:val="24"/>
        </w:rPr>
        <w:t xml:space="preserve">Galveno finanšu mērķa rādītāju ietekmējošie rādītāji. </w:t>
      </w:r>
    </w:p>
    <w:p w14:paraId="73C0767B" w14:textId="77777777" w:rsidR="00D2608B" w:rsidRPr="00B12C0C" w:rsidRDefault="00D2608B" w:rsidP="00D2608B">
      <w:pPr>
        <w:pStyle w:val="ListParagraph"/>
        <w:numPr>
          <w:ilvl w:val="0"/>
          <w:numId w:val="1"/>
        </w:numPr>
        <w:ind w:left="357" w:hanging="357"/>
        <w:contextualSpacing w:val="0"/>
        <w:jc w:val="both"/>
        <w:rPr>
          <w:rFonts w:ascii="Times New Roman" w:hAnsi="Times New Roman"/>
          <w:sz w:val="24"/>
          <w:szCs w:val="24"/>
        </w:rPr>
      </w:pPr>
      <w:r w:rsidRPr="00B12C0C">
        <w:rPr>
          <w:rFonts w:ascii="Times New Roman" w:hAnsi="Times New Roman"/>
          <w:sz w:val="24"/>
          <w:szCs w:val="24"/>
          <w:u w:val="single"/>
        </w:rPr>
        <w:t xml:space="preserve">Rādītājs Nr. 2. Peļņa vai zaudējumi. </w:t>
      </w:r>
    </w:p>
    <w:p w14:paraId="398E3582" w14:textId="77777777" w:rsidR="00D2608B" w:rsidRDefault="00D2608B" w:rsidP="00D2608B">
      <w:pPr>
        <w:pStyle w:val="ListParagraph"/>
        <w:ind w:left="357"/>
        <w:contextualSpacing w:val="0"/>
        <w:jc w:val="both"/>
        <w:rPr>
          <w:rFonts w:ascii="Times New Roman" w:hAnsi="Times New Roman"/>
          <w:sz w:val="24"/>
          <w:szCs w:val="24"/>
        </w:rPr>
      </w:pPr>
      <w:r>
        <w:rPr>
          <w:rFonts w:ascii="Times New Roman" w:hAnsi="Times New Roman"/>
          <w:sz w:val="24"/>
          <w:szCs w:val="24"/>
        </w:rPr>
        <w:t>2016.gada auditētā peļņa</w:t>
      </w:r>
      <w:r w:rsidRPr="00B12C0C">
        <w:rPr>
          <w:rFonts w:ascii="Times New Roman" w:hAnsi="Times New Roman"/>
          <w:sz w:val="24"/>
          <w:szCs w:val="24"/>
        </w:rPr>
        <w:t xml:space="preserve"> </w:t>
      </w:r>
      <w:r>
        <w:rPr>
          <w:rFonts w:ascii="Times New Roman" w:hAnsi="Times New Roman"/>
          <w:sz w:val="24"/>
          <w:szCs w:val="24"/>
        </w:rPr>
        <w:t xml:space="preserve">4’024’833 EUR ir </w:t>
      </w:r>
      <w:r w:rsidRPr="00B12C0C">
        <w:rPr>
          <w:rFonts w:ascii="Times New Roman" w:hAnsi="Times New Roman"/>
          <w:sz w:val="24"/>
          <w:szCs w:val="24"/>
        </w:rPr>
        <w:t xml:space="preserve">būtiski, par </w:t>
      </w:r>
      <w:r>
        <w:rPr>
          <w:rFonts w:ascii="Times New Roman" w:hAnsi="Times New Roman"/>
          <w:sz w:val="24"/>
          <w:szCs w:val="24"/>
        </w:rPr>
        <w:t>2’288’833 EUR, augstāka</w:t>
      </w:r>
      <w:r w:rsidRPr="00B12C0C">
        <w:rPr>
          <w:rFonts w:ascii="Times New Roman" w:hAnsi="Times New Roman"/>
          <w:sz w:val="24"/>
          <w:szCs w:val="24"/>
        </w:rPr>
        <w:t xml:space="preserve"> par Stratēģijā plānoto </w:t>
      </w:r>
      <w:r>
        <w:rPr>
          <w:rFonts w:ascii="Times New Roman" w:hAnsi="Times New Roman"/>
          <w:sz w:val="24"/>
          <w:szCs w:val="24"/>
        </w:rPr>
        <w:t>1’736’000 EUR</w:t>
      </w:r>
      <w:r w:rsidRPr="00B12C0C">
        <w:rPr>
          <w:rFonts w:ascii="Times New Roman" w:hAnsi="Times New Roman"/>
          <w:sz w:val="24"/>
          <w:szCs w:val="24"/>
        </w:rPr>
        <w:t xml:space="preserve"> (Budžetā plānots</w:t>
      </w:r>
      <w:r>
        <w:rPr>
          <w:rFonts w:ascii="Times New Roman" w:hAnsi="Times New Roman"/>
          <w:sz w:val="24"/>
          <w:szCs w:val="24"/>
        </w:rPr>
        <w:t xml:space="preserve"> 1’260’168 EUR</w:t>
      </w:r>
      <w:r w:rsidRPr="00B12C0C">
        <w:rPr>
          <w:rFonts w:ascii="Times New Roman" w:hAnsi="Times New Roman"/>
          <w:sz w:val="24"/>
          <w:szCs w:val="24"/>
        </w:rPr>
        <w:t>).</w:t>
      </w:r>
      <w:r>
        <w:rPr>
          <w:rFonts w:ascii="Times New Roman" w:hAnsi="Times New Roman"/>
          <w:sz w:val="24"/>
          <w:szCs w:val="24"/>
        </w:rPr>
        <w:t xml:space="preserve"> </w:t>
      </w:r>
    </w:p>
    <w:p w14:paraId="1FA79A90" w14:textId="77777777" w:rsidR="00D2608B" w:rsidRDefault="00D2608B" w:rsidP="00D2608B">
      <w:pPr>
        <w:pStyle w:val="ListParagraph"/>
        <w:spacing w:after="120"/>
        <w:ind w:left="357"/>
        <w:contextualSpacing w:val="0"/>
        <w:jc w:val="both"/>
        <w:rPr>
          <w:rFonts w:ascii="Times New Roman" w:hAnsi="Times New Roman"/>
          <w:sz w:val="24"/>
          <w:szCs w:val="24"/>
        </w:rPr>
      </w:pPr>
      <w:r w:rsidRPr="007C1802">
        <w:rPr>
          <w:rFonts w:ascii="Times New Roman" w:hAnsi="Times New Roman"/>
          <w:sz w:val="24"/>
          <w:szCs w:val="24"/>
        </w:rPr>
        <w:t>Peļņ</w:t>
      </w:r>
      <w:r>
        <w:rPr>
          <w:rFonts w:ascii="Times New Roman" w:hAnsi="Times New Roman"/>
          <w:sz w:val="24"/>
          <w:szCs w:val="24"/>
        </w:rPr>
        <w:t xml:space="preserve">as rādītāju pozitīvi ietekmēja </w:t>
      </w:r>
      <w:r w:rsidRPr="004B4E62">
        <w:rPr>
          <w:rFonts w:ascii="Times New Roman" w:hAnsi="Times New Roman"/>
          <w:sz w:val="24"/>
          <w:szCs w:val="24"/>
        </w:rPr>
        <w:t xml:space="preserve">darbības optimizācijas rezultātā </w:t>
      </w:r>
      <w:r>
        <w:rPr>
          <w:rFonts w:ascii="Times New Roman" w:hAnsi="Times New Roman"/>
          <w:sz w:val="24"/>
          <w:szCs w:val="24"/>
        </w:rPr>
        <w:t xml:space="preserve">kāpinātā darbības efektivitāte, </w:t>
      </w:r>
      <w:r w:rsidRPr="007C1802">
        <w:rPr>
          <w:rFonts w:ascii="Times New Roman" w:hAnsi="Times New Roman"/>
          <w:sz w:val="24"/>
          <w:szCs w:val="24"/>
        </w:rPr>
        <w:t xml:space="preserve">mazāki izdevumi par valsts </w:t>
      </w:r>
      <w:r>
        <w:rPr>
          <w:rFonts w:ascii="Times New Roman" w:hAnsi="Times New Roman"/>
          <w:sz w:val="24"/>
          <w:szCs w:val="24"/>
        </w:rPr>
        <w:t>atbalstu</w:t>
      </w:r>
      <w:r w:rsidRPr="007C1802">
        <w:rPr>
          <w:rFonts w:ascii="Times New Roman" w:hAnsi="Times New Roman"/>
          <w:sz w:val="24"/>
          <w:szCs w:val="24"/>
        </w:rPr>
        <w:t xml:space="preserve"> un uzkrājumiem negūtiem garantiju ieņēmumiem (neizdevīgiem līgumiem). </w:t>
      </w:r>
    </w:p>
    <w:p w14:paraId="7BE15416" w14:textId="77777777" w:rsidR="00D2608B" w:rsidRPr="000635CF" w:rsidRDefault="00D2608B" w:rsidP="00D2608B">
      <w:pPr>
        <w:pStyle w:val="ListParagraph"/>
        <w:numPr>
          <w:ilvl w:val="0"/>
          <w:numId w:val="1"/>
        </w:numPr>
        <w:ind w:left="357" w:hanging="357"/>
        <w:contextualSpacing w:val="0"/>
        <w:jc w:val="both"/>
        <w:rPr>
          <w:rFonts w:ascii="Times New Roman" w:hAnsi="Times New Roman"/>
          <w:sz w:val="24"/>
          <w:szCs w:val="24"/>
        </w:rPr>
      </w:pPr>
      <w:r w:rsidRPr="000635CF">
        <w:rPr>
          <w:rFonts w:ascii="Times New Roman" w:hAnsi="Times New Roman"/>
          <w:sz w:val="24"/>
          <w:szCs w:val="24"/>
          <w:u w:val="single"/>
        </w:rPr>
        <w:t xml:space="preserve">Rādītājs Nr. 3. Pašu kapitāls. </w:t>
      </w:r>
    </w:p>
    <w:p w14:paraId="0E63BEAA" w14:textId="77777777" w:rsidR="00D2608B" w:rsidRPr="004B4E62" w:rsidRDefault="00D2608B" w:rsidP="00D2608B">
      <w:pPr>
        <w:pStyle w:val="ListParagraph"/>
        <w:ind w:left="357"/>
        <w:contextualSpacing w:val="0"/>
        <w:jc w:val="both"/>
        <w:rPr>
          <w:rFonts w:ascii="Times New Roman" w:hAnsi="Times New Roman"/>
          <w:sz w:val="24"/>
          <w:szCs w:val="24"/>
        </w:rPr>
      </w:pPr>
      <w:bookmarkStart w:id="9" w:name="_Hlk483225767"/>
      <w:r>
        <w:rPr>
          <w:rFonts w:ascii="Times New Roman" w:hAnsi="Times New Roman"/>
          <w:sz w:val="24"/>
          <w:szCs w:val="24"/>
        </w:rPr>
        <w:t>Mērķa rādītājs ir koriģēts uz (205’863</w:t>
      </w:r>
      <w:r w:rsidRPr="00576210">
        <w:rPr>
          <w:rFonts w:ascii="Times New Roman" w:hAnsi="Times New Roman"/>
          <w:sz w:val="24"/>
          <w:szCs w:val="24"/>
        </w:rPr>
        <w:t xml:space="preserve"> tūkst. EUR)</w:t>
      </w:r>
      <w:r>
        <w:rPr>
          <w:rFonts w:ascii="Times New Roman" w:hAnsi="Times New Roman"/>
          <w:sz w:val="24"/>
          <w:szCs w:val="24"/>
        </w:rPr>
        <w:t xml:space="preserve"> ņemot vērā starpību (-14’877 tūkst. EUR) starp sākotnēji plānoto pašu kapitāla apjomu sabiedrības izveides gada beigās (215’935</w:t>
      </w:r>
      <w:r w:rsidRPr="009726F9">
        <w:rPr>
          <w:rFonts w:ascii="Times New Roman" w:hAnsi="Times New Roman"/>
          <w:sz w:val="24"/>
          <w:szCs w:val="24"/>
        </w:rPr>
        <w:t xml:space="preserve"> tūkst. EUR</w:t>
      </w:r>
      <w:r>
        <w:rPr>
          <w:rFonts w:ascii="Times New Roman" w:hAnsi="Times New Roman"/>
          <w:sz w:val="24"/>
          <w:szCs w:val="24"/>
        </w:rPr>
        <w:t>) un faktisko, auditēto pašu kapitāla apjomu institūcijas izveides gadā (</w:t>
      </w:r>
      <w:bookmarkStart w:id="10" w:name="_Hlk483824838"/>
      <w:r>
        <w:rPr>
          <w:rFonts w:ascii="Times New Roman" w:hAnsi="Times New Roman"/>
          <w:sz w:val="24"/>
          <w:szCs w:val="24"/>
        </w:rPr>
        <w:t>31.12.2015</w:t>
      </w:r>
      <w:bookmarkEnd w:id="10"/>
      <w:r>
        <w:rPr>
          <w:rFonts w:ascii="Times New Roman" w:hAnsi="Times New Roman"/>
          <w:sz w:val="24"/>
          <w:szCs w:val="24"/>
        </w:rPr>
        <w:t>., 201’058 tūkst. EUR), kas ir stratēģijas īstenošanas s</w:t>
      </w:r>
      <w:bookmarkStart w:id="11" w:name="_Hlk483823312"/>
      <w:r>
        <w:rPr>
          <w:rFonts w:ascii="Times New Roman" w:hAnsi="Times New Roman"/>
          <w:sz w:val="24"/>
          <w:szCs w:val="24"/>
        </w:rPr>
        <w:t>ākuma dati. Sākotnēji plānotais</w:t>
      </w:r>
      <w:r w:rsidRPr="00B00629">
        <w:rPr>
          <w:rFonts w:ascii="Times New Roman" w:hAnsi="Times New Roman"/>
          <w:sz w:val="24"/>
          <w:szCs w:val="24"/>
        </w:rPr>
        <w:t xml:space="preserve"> pašu kapitāla apjoms</w:t>
      </w:r>
      <w:r>
        <w:rPr>
          <w:rFonts w:ascii="Times New Roman" w:hAnsi="Times New Roman"/>
          <w:sz w:val="24"/>
          <w:szCs w:val="24"/>
        </w:rPr>
        <w:t xml:space="preserve"> tika</w:t>
      </w:r>
      <w:r w:rsidRPr="00B00629">
        <w:rPr>
          <w:rFonts w:ascii="Times New Roman" w:hAnsi="Times New Roman"/>
          <w:sz w:val="24"/>
          <w:szCs w:val="24"/>
        </w:rPr>
        <w:t xml:space="preserve"> </w:t>
      </w:r>
      <w:r>
        <w:rPr>
          <w:rFonts w:ascii="Times New Roman" w:hAnsi="Times New Roman"/>
          <w:sz w:val="24"/>
          <w:szCs w:val="24"/>
        </w:rPr>
        <w:t xml:space="preserve">atspoguļots </w:t>
      </w:r>
      <w:r w:rsidRPr="00B00629">
        <w:rPr>
          <w:rFonts w:ascii="Times New Roman" w:hAnsi="Times New Roman"/>
          <w:sz w:val="24"/>
          <w:szCs w:val="24"/>
        </w:rPr>
        <w:t>bez Starptautisko grāmatvedības standartu (SGS) piemērošanas ietekmes uz pašu kapitāla lielumu uz vienotās attīstības finanšu institūcijas izveides brīdi 2015.gadā</w:t>
      </w:r>
      <w:r>
        <w:rPr>
          <w:rFonts w:ascii="Times New Roman" w:hAnsi="Times New Roman"/>
          <w:sz w:val="24"/>
          <w:szCs w:val="24"/>
        </w:rPr>
        <w:t xml:space="preserve">, jo auditoru skaidrojums par SGS piemērošanu sabiedrības gadījumā tika saņemts </w:t>
      </w:r>
      <w:r w:rsidRPr="004B4E62">
        <w:rPr>
          <w:rFonts w:ascii="Times New Roman" w:hAnsi="Times New Roman"/>
          <w:sz w:val="24"/>
          <w:szCs w:val="24"/>
        </w:rPr>
        <w:t xml:space="preserve">vēlāk – 2015.gada </w:t>
      </w:r>
      <w:r>
        <w:rPr>
          <w:rFonts w:ascii="Times New Roman" w:hAnsi="Times New Roman"/>
          <w:sz w:val="24"/>
          <w:szCs w:val="24"/>
        </w:rPr>
        <w:t xml:space="preserve">finanšu </w:t>
      </w:r>
      <w:r w:rsidRPr="004B4E62">
        <w:rPr>
          <w:rFonts w:ascii="Times New Roman" w:hAnsi="Times New Roman"/>
          <w:sz w:val="24"/>
          <w:szCs w:val="24"/>
        </w:rPr>
        <w:t>pārskata audita ietvaros</w:t>
      </w:r>
      <w:r>
        <w:rPr>
          <w:rFonts w:ascii="Times New Roman" w:hAnsi="Times New Roman"/>
          <w:sz w:val="24"/>
          <w:szCs w:val="24"/>
        </w:rPr>
        <w:t xml:space="preserve"> (</w:t>
      </w:r>
      <w:r w:rsidRPr="004B4E62">
        <w:rPr>
          <w:rFonts w:ascii="Times New Roman" w:hAnsi="Times New Roman"/>
          <w:sz w:val="24"/>
          <w:szCs w:val="24"/>
        </w:rPr>
        <w:t xml:space="preserve">2016.gada maijā). </w:t>
      </w:r>
    </w:p>
    <w:bookmarkEnd w:id="11"/>
    <w:p w14:paraId="23963E2D" w14:textId="77777777" w:rsidR="00D2608B" w:rsidRPr="004B4E62" w:rsidRDefault="00D2608B" w:rsidP="00D2608B">
      <w:pPr>
        <w:pStyle w:val="ListParagraph"/>
        <w:ind w:left="357"/>
        <w:contextualSpacing w:val="0"/>
        <w:jc w:val="both"/>
        <w:rPr>
          <w:rFonts w:ascii="Times New Roman" w:hAnsi="Times New Roman"/>
          <w:sz w:val="24"/>
          <w:szCs w:val="24"/>
        </w:rPr>
      </w:pPr>
      <w:r w:rsidRPr="004B4E62">
        <w:rPr>
          <w:rFonts w:ascii="Times New Roman" w:hAnsi="Times New Roman"/>
          <w:sz w:val="24"/>
          <w:szCs w:val="24"/>
        </w:rPr>
        <w:t>2016</w:t>
      </w:r>
      <w:r>
        <w:rPr>
          <w:rFonts w:ascii="Times New Roman" w:hAnsi="Times New Roman"/>
          <w:sz w:val="24"/>
          <w:szCs w:val="24"/>
        </w:rPr>
        <w:t>.</w:t>
      </w:r>
      <w:r w:rsidRPr="004B4E62">
        <w:rPr>
          <w:rFonts w:ascii="Times New Roman" w:hAnsi="Times New Roman"/>
          <w:sz w:val="24"/>
          <w:szCs w:val="24"/>
        </w:rPr>
        <w:t>gadā pašu kapitāls ir audzis par 10’010 tūkst. EUR (no 201'058 tūkst. EUR, līdz 211'068 tūkst. EUR), kas ir par 108% vairāk par Stratēģijā plānoto (4’805 tūkst. EUR) pateicoties lielākai 2016.gada peļņai</w:t>
      </w:r>
      <w:bookmarkEnd w:id="9"/>
      <w:r w:rsidRPr="004B4E62">
        <w:rPr>
          <w:rFonts w:ascii="Times New Roman" w:hAnsi="Times New Roman"/>
          <w:sz w:val="24"/>
          <w:szCs w:val="24"/>
        </w:rPr>
        <w:t xml:space="preserve">. </w:t>
      </w:r>
    </w:p>
    <w:p w14:paraId="55DC0396" w14:textId="77777777" w:rsidR="00D2608B" w:rsidRPr="00604378" w:rsidRDefault="00D2608B" w:rsidP="00D2608B">
      <w:pPr>
        <w:spacing w:before="120"/>
        <w:jc w:val="both"/>
        <w:rPr>
          <w:rFonts w:ascii="Times New Roman" w:hAnsi="Times New Roman"/>
          <w:sz w:val="24"/>
          <w:szCs w:val="24"/>
        </w:rPr>
      </w:pPr>
      <w:r w:rsidRPr="00604378">
        <w:rPr>
          <w:rFonts w:ascii="Times New Roman" w:hAnsi="Times New Roman"/>
          <w:sz w:val="24"/>
          <w:szCs w:val="24"/>
        </w:rPr>
        <w:t xml:space="preserve">Riska līmeņa rādītāji. </w:t>
      </w:r>
    </w:p>
    <w:p w14:paraId="74827704" w14:textId="77777777" w:rsidR="00D2608B" w:rsidRPr="009D00C4" w:rsidRDefault="00D2608B" w:rsidP="00D2608B">
      <w:pPr>
        <w:pStyle w:val="ListParagraph"/>
        <w:numPr>
          <w:ilvl w:val="0"/>
          <w:numId w:val="1"/>
        </w:numPr>
        <w:ind w:left="357" w:hanging="357"/>
        <w:contextualSpacing w:val="0"/>
        <w:jc w:val="both"/>
        <w:rPr>
          <w:rFonts w:ascii="Times New Roman" w:hAnsi="Times New Roman"/>
          <w:sz w:val="24"/>
          <w:szCs w:val="24"/>
        </w:rPr>
      </w:pPr>
      <w:r w:rsidRPr="009D00C4">
        <w:rPr>
          <w:rFonts w:ascii="Times New Roman" w:hAnsi="Times New Roman"/>
          <w:sz w:val="24"/>
          <w:szCs w:val="24"/>
          <w:u w:val="single"/>
        </w:rPr>
        <w:t xml:space="preserve">Rādītājs Nr. 4. Likviditātes rādītājs. </w:t>
      </w:r>
    </w:p>
    <w:p w14:paraId="4C1CD960" w14:textId="77777777" w:rsidR="00D2608B" w:rsidRPr="009D00C4" w:rsidRDefault="00D2608B" w:rsidP="00D2608B">
      <w:pPr>
        <w:pStyle w:val="ListParagraph"/>
        <w:spacing w:after="120"/>
        <w:ind w:left="357"/>
        <w:contextualSpacing w:val="0"/>
        <w:jc w:val="both"/>
        <w:rPr>
          <w:rFonts w:ascii="Times New Roman" w:hAnsi="Times New Roman"/>
          <w:sz w:val="24"/>
          <w:szCs w:val="24"/>
        </w:rPr>
      </w:pPr>
      <w:r w:rsidRPr="009D00C4">
        <w:rPr>
          <w:rFonts w:ascii="Times New Roman" w:hAnsi="Times New Roman"/>
          <w:sz w:val="24"/>
          <w:szCs w:val="24"/>
        </w:rPr>
        <w:t xml:space="preserve">Stratēģijā likviditātes rādītājs plānots </w:t>
      </w:r>
      <w:r w:rsidRPr="009D00C4">
        <w:rPr>
          <w:rFonts w:ascii="Times New Roman" w:eastAsia="Times New Roman" w:hAnsi="Times New Roman"/>
          <w:sz w:val="24"/>
          <w:szCs w:val="24"/>
        </w:rPr>
        <w:t>516%</w:t>
      </w:r>
      <w:r w:rsidRPr="009D00C4">
        <w:rPr>
          <w:rFonts w:ascii="Times New Roman" w:hAnsi="Times New Roman"/>
          <w:sz w:val="24"/>
          <w:szCs w:val="24"/>
        </w:rPr>
        <w:t xml:space="preserve">. Risku pārvaldīšanas stratēģijā ir noteikts rādītāja </w:t>
      </w:r>
      <w:r w:rsidRPr="009D00C4">
        <w:rPr>
          <w:rFonts w:ascii="Times New Roman" w:eastAsia="Times New Roman" w:hAnsi="Times New Roman"/>
          <w:sz w:val="24"/>
          <w:szCs w:val="24"/>
        </w:rPr>
        <w:t>limits &gt;=50%.</w:t>
      </w:r>
      <w:r w:rsidRPr="009D00C4">
        <w:rPr>
          <w:rFonts w:ascii="Times New Roman" w:hAnsi="Times New Roman"/>
          <w:sz w:val="24"/>
          <w:szCs w:val="24"/>
        </w:rPr>
        <w:t xml:space="preserve"> Fakts 620%, izpilde </w:t>
      </w:r>
      <w:r w:rsidRPr="009D00C4">
        <w:rPr>
          <w:rFonts w:ascii="Times New Roman" w:eastAsia="Times New Roman" w:hAnsi="Times New Roman"/>
          <w:sz w:val="24"/>
          <w:szCs w:val="24"/>
        </w:rPr>
        <w:t xml:space="preserve">pret plānoto +104%. </w:t>
      </w:r>
      <w:r w:rsidRPr="009D00C4">
        <w:rPr>
          <w:rFonts w:ascii="Times New Roman" w:hAnsi="Times New Roman"/>
          <w:sz w:val="24"/>
          <w:szCs w:val="24"/>
        </w:rPr>
        <w:t xml:space="preserve">Finanšu institūcija likviditātes rādītāju </w:t>
      </w:r>
      <w:r w:rsidRPr="009D00C4">
        <w:rPr>
          <w:rFonts w:ascii="Times New Roman" w:eastAsia="Times New Roman" w:hAnsi="Times New Roman"/>
          <w:sz w:val="24"/>
          <w:szCs w:val="24"/>
        </w:rPr>
        <w:t>aprēķina kā 6 mēnešu saistību segumu ar likvīdajiem aktīviem.</w:t>
      </w:r>
      <w:r w:rsidRPr="009D00C4">
        <w:rPr>
          <w:rFonts w:ascii="Times New Roman" w:hAnsi="Times New Roman"/>
          <w:sz w:val="24"/>
          <w:szCs w:val="24"/>
        </w:rPr>
        <w:t xml:space="preserve"> </w:t>
      </w:r>
    </w:p>
    <w:p w14:paraId="09CC1AB6" w14:textId="77777777" w:rsidR="00D2608B" w:rsidRPr="009D00C4" w:rsidRDefault="00D2608B" w:rsidP="00D2608B">
      <w:pPr>
        <w:pStyle w:val="ListParagraph"/>
        <w:numPr>
          <w:ilvl w:val="0"/>
          <w:numId w:val="1"/>
        </w:numPr>
        <w:ind w:left="357" w:hanging="357"/>
        <w:contextualSpacing w:val="0"/>
        <w:jc w:val="both"/>
        <w:rPr>
          <w:rFonts w:ascii="Times New Roman" w:hAnsi="Times New Roman"/>
          <w:sz w:val="24"/>
          <w:szCs w:val="24"/>
        </w:rPr>
      </w:pPr>
      <w:r w:rsidRPr="009D00C4">
        <w:rPr>
          <w:rFonts w:ascii="Times New Roman" w:hAnsi="Times New Roman"/>
          <w:sz w:val="24"/>
          <w:szCs w:val="24"/>
          <w:u w:val="single"/>
        </w:rPr>
        <w:t xml:space="preserve">Rādītājs Nr. 5. Kapitāla pietiekamības rādītājs. </w:t>
      </w:r>
      <w:bookmarkStart w:id="12" w:name="_Hlk483218158"/>
    </w:p>
    <w:bookmarkEnd w:id="12"/>
    <w:p w14:paraId="76295BA1" w14:textId="77777777" w:rsidR="00D2608B" w:rsidRPr="003900FD" w:rsidRDefault="00D2608B" w:rsidP="00D2608B">
      <w:pPr>
        <w:pStyle w:val="ListParagraph"/>
        <w:spacing w:after="120"/>
        <w:ind w:left="357"/>
        <w:contextualSpacing w:val="0"/>
        <w:jc w:val="both"/>
        <w:rPr>
          <w:rFonts w:ascii="Times New Roman" w:hAnsi="Times New Roman"/>
          <w:sz w:val="24"/>
          <w:szCs w:val="24"/>
        </w:rPr>
      </w:pPr>
      <w:r w:rsidRPr="009D00C4">
        <w:rPr>
          <w:rFonts w:ascii="Times New Roman" w:hAnsi="Times New Roman"/>
          <w:sz w:val="24"/>
          <w:szCs w:val="24"/>
        </w:rPr>
        <w:t xml:space="preserve">Kapitāla pietiekamības rādītājs 41,50% ir augstāks par Stratēģijā plānoto 40.17%. </w:t>
      </w:r>
      <w:r w:rsidRPr="003900FD">
        <w:rPr>
          <w:rFonts w:ascii="Times New Roman" w:hAnsi="Times New Roman"/>
          <w:sz w:val="24"/>
          <w:szCs w:val="24"/>
        </w:rPr>
        <w:t xml:space="preserve">Kapitāla pietiekamību pozitīvi ietekmēja: </w:t>
      </w:r>
      <w:bookmarkStart w:id="13" w:name="_Hlk483219658"/>
      <w:r w:rsidRPr="003900FD">
        <w:rPr>
          <w:rFonts w:ascii="Times New Roman" w:hAnsi="Times New Roman"/>
          <w:sz w:val="24"/>
          <w:szCs w:val="24"/>
        </w:rPr>
        <w:t>lielāks par plānoto peļņas apjoms un rezerves kapitāla palielinājums</w:t>
      </w:r>
      <w:bookmarkEnd w:id="13"/>
      <w:r w:rsidRPr="003900FD">
        <w:rPr>
          <w:rFonts w:ascii="Times New Roman" w:hAnsi="Times New Roman"/>
          <w:sz w:val="24"/>
          <w:szCs w:val="24"/>
        </w:rPr>
        <w:t xml:space="preserve">. </w:t>
      </w:r>
    </w:p>
    <w:p w14:paraId="3CCF70BB" w14:textId="7A0146B0" w:rsidR="003E1A92" w:rsidRPr="006A1C9D" w:rsidRDefault="003E1A92" w:rsidP="003E1A92">
      <w:pPr>
        <w:widowControl w:val="0"/>
        <w:spacing w:after="0" w:line="240" w:lineRule="auto"/>
        <w:jc w:val="both"/>
        <w:rPr>
          <w:rFonts w:ascii="Times New Roman" w:eastAsia="Calibri" w:hAnsi="Times New Roman" w:cs="Times New Roman"/>
          <w:sz w:val="24"/>
          <w:szCs w:val="24"/>
        </w:rPr>
      </w:pPr>
      <w:r w:rsidRPr="006A1C9D">
        <w:rPr>
          <w:rFonts w:ascii="Times New Roman" w:eastAsia="Calibri" w:hAnsi="Times New Roman" w:cs="Times New Roman"/>
          <w:sz w:val="24"/>
          <w:szCs w:val="24"/>
        </w:rPr>
        <w:t xml:space="preserve">AS “Attīstības finanšu institūcija </w:t>
      </w:r>
      <w:proofErr w:type="spellStart"/>
      <w:r w:rsidRPr="006A1C9D">
        <w:rPr>
          <w:rFonts w:ascii="Times New Roman" w:eastAsia="Calibri" w:hAnsi="Times New Roman" w:cs="Times New Roman"/>
          <w:sz w:val="24"/>
          <w:szCs w:val="24"/>
        </w:rPr>
        <w:t>Altum</w:t>
      </w:r>
      <w:proofErr w:type="spellEnd"/>
      <w:r w:rsidRPr="006A1C9D">
        <w:rPr>
          <w:rFonts w:ascii="Times New Roman" w:eastAsia="Calibri" w:hAnsi="Times New Roman" w:cs="Times New Roman"/>
          <w:sz w:val="24"/>
          <w:szCs w:val="24"/>
        </w:rPr>
        <w:t>” Koncerna un atsevišķais finanšu pārskats par gadu, kas noslēdzās 201</w:t>
      </w:r>
      <w:r w:rsidR="00D2608B" w:rsidRPr="006A1C9D">
        <w:rPr>
          <w:rFonts w:ascii="Times New Roman" w:eastAsia="Calibri" w:hAnsi="Times New Roman" w:cs="Times New Roman"/>
          <w:sz w:val="24"/>
          <w:szCs w:val="24"/>
        </w:rPr>
        <w:t>6</w:t>
      </w:r>
      <w:r w:rsidRPr="006A1C9D">
        <w:rPr>
          <w:rFonts w:ascii="Times New Roman" w:eastAsia="Calibri" w:hAnsi="Times New Roman" w:cs="Times New Roman"/>
          <w:sz w:val="24"/>
          <w:szCs w:val="24"/>
        </w:rPr>
        <w:t>. gada 31. decembrī</w:t>
      </w:r>
      <w:r w:rsidR="00D2608B" w:rsidRPr="006A1C9D">
        <w:rPr>
          <w:rFonts w:ascii="Times New Roman" w:eastAsia="Calibri" w:hAnsi="Times New Roman" w:cs="Times New Roman"/>
          <w:sz w:val="24"/>
          <w:szCs w:val="24"/>
        </w:rPr>
        <w:t xml:space="preserve"> un</w:t>
      </w:r>
      <w:r w:rsidRPr="006A1C9D">
        <w:rPr>
          <w:rFonts w:ascii="Times New Roman" w:eastAsia="Calibri" w:hAnsi="Times New Roman" w:cs="Times New Roman"/>
          <w:sz w:val="24"/>
          <w:szCs w:val="24"/>
        </w:rPr>
        <w:t xml:space="preserve"> </w:t>
      </w:r>
      <w:r w:rsidR="00D2608B" w:rsidRPr="006A1C9D">
        <w:rPr>
          <w:rFonts w:ascii="Times New Roman" w:eastAsia="Calibri" w:hAnsi="Times New Roman" w:cs="Times New Roman"/>
          <w:sz w:val="24"/>
          <w:szCs w:val="24"/>
        </w:rPr>
        <w:t>pārskats par gadu, kas noslēdzās 201</w:t>
      </w:r>
      <w:r w:rsidR="00D2608B" w:rsidRPr="006A1C9D">
        <w:rPr>
          <w:rFonts w:ascii="Times New Roman" w:eastAsia="Calibri" w:hAnsi="Times New Roman" w:cs="Times New Roman"/>
          <w:sz w:val="24"/>
          <w:szCs w:val="24"/>
        </w:rPr>
        <w:t>5</w:t>
      </w:r>
      <w:r w:rsidR="00D2608B" w:rsidRPr="006A1C9D">
        <w:rPr>
          <w:rFonts w:ascii="Times New Roman" w:eastAsia="Calibri" w:hAnsi="Times New Roman" w:cs="Times New Roman"/>
          <w:sz w:val="24"/>
          <w:szCs w:val="24"/>
        </w:rPr>
        <w:t>. gada 31. decembrī</w:t>
      </w:r>
      <w:r w:rsidR="00D2608B" w:rsidRPr="006A1C9D">
        <w:rPr>
          <w:rFonts w:ascii="Times New Roman" w:eastAsia="Calibri" w:hAnsi="Times New Roman" w:cs="Times New Roman"/>
          <w:sz w:val="24"/>
          <w:szCs w:val="24"/>
        </w:rPr>
        <w:t xml:space="preserve"> </w:t>
      </w:r>
      <w:r w:rsidRPr="006A1C9D">
        <w:rPr>
          <w:rFonts w:ascii="Times New Roman" w:eastAsia="Calibri" w:hAnsi="Times New Roman" w:cs="Times New Roman"/>
          <w:sz w:val="24"/>
          <w:szCs w:val="24"/>
        </w:rPr>
        <w:t>ir publiski pieejam</w:t>
      </w:r>
      <w:r w:rsidR="00D2608B" w:rsidRPr="006A1C9D">
        <w:rPr>
          <w:rFonts w:ascii="Times New Roman" w:eastAsia="Calibri" w:hAnsi="Times New Roman" w:cs="Times New Roman"/>
          <w:sz w:val="24"/>
          <w:szCs w:val="24"/>
        </w:rPr>
        <w:t>s</w:t>
      </w:r>
      <w:r w:rsidRPr="006A1C9D">
        <w:rPr>
          <w:rFonts w:ascii="Times New Roman" w:eastAsia="Calibri" w:hAnsi="Times New Roman" w:cs="Times New Roman"/>
          <w:sz w:val="24"/>
          <w:szCs w:val="24"/>
        </w:rPr>
        <w:t xml:space="preserve"> elektroniskā veidā – interneta mājas lapā www.altum.lv, sadaļas „INVESTORIEM” </w:t>
      </w:r>
      <w:proofErr w:type="spellStart"/>
      <w:r w:rsidRPr="006A1C9D">
        <w:rPr>
          <w:rFonts w:ascii="Times New Roman" w:eastAsia="Calibri" w:hAnsi="Times New Roman" w:cs="Times New Roman"/>
          <w:sz w:val="24"/>
          <w:szCs w:val="24"/>
        </w:rPr>
        <w:t>apakšsadaļā</w:t>
      </w:r>
      <w:proofErr w:type="spellEnd"/>
      <w:r w:rsidRPr="006A1C9D">
        <w:rPr>
          <w:rFonts w:ascii="Times New Roman" w:eastAsia="Calibri" w:hAnsi="Times New Roman" w:cs="Times New Roman"/>
          <w:sz w:val="24"/>
          <w:szCs w:val="24"/>
        </w:rPr>
        <w:t xml:space="preserve"> “FINANŠU INFORMĀCIJA” un sadaļas “PAR ALTUM” </w:t>
      </w:r>
      <w:proofErr w:type="spellStart"/>
      <w:r w:rsidRPr="006A1C9D">
        <w:rPr>
          <w:rFonts w:ascii="Times New Roman" w:eastAsia="Calibri" w:hAnsi="Times New Roman" w:cs="Times New Roman"/>
          <w:sz w:val="24"/>
          <w:szCs w:val="24"/>
        </w:rPr>
        <w:t>apakšsadaļā</w:t>
      </w:r>
      <w:proofErr w:type="spellEnd"/>
      <w:r w:rsidRPr="006A1C9D">
        <w:rPr>
          <w:rFonts w:ascii="Times New Roman" w:eastAsia="Calibri" w:hAnsi="Times New Roman" w:cs="Times New Roman"/>
          <w:sz w:val="24"/>
          <w:szCs w:val="24"/>
        </w:rPr>
        <w:t xml:space="preserve"> “FINANŠU INFORMĀCIJA”. </w:t>
      </w:r>
    </w:p>
    <w:p w14:paraId="449290EC" w14:textId="5DFE53F1" w:rsidR="00D976E8" w:rsidRPr="003900FD" w:rsidRDefault="00D91CFF" w:rsidP="002C5134">
      <w:pPr>
        <w:spacing w:before="240"/>
        <w:rPr>
          <w:rFonts w:ascii="Times New Roman" w:eastAsia="Calibri" w:hAnsi="Times New Roman" w:cs="Times New Roman"/>
        </w:rPr>
      </w:pPr>
      <w:bookmarkStart w:id="14" w:name="_Hlk40861618"/>
      <w:bookmarkEnd w:id="3"/>
      <w:r w:rsidRPr="003900FD">
        <w:rPr>
          <w:rFonts w:ascii="Times New Roman" w:eastAsia="Calibri" w:hAnsi="Times New Roman" w:cs="Times New Roman"/>
          <w:b/>
          <w:bCs/>
          <w:sz w:val="28"/>
          <w:szCs w:val="28"/>
        </w:rPr>
        <w:t xml:space="preserve">2. </w:t>
      </w:r>
      <w:proofErr w:type="spellStart"/>
      <w:r w:rsidR="00454D96" w:rsidRPr="003900FD">
        <w:rPr>
          <w:rFonts w:ascii="Times New Roman" w:eastAsia="Calibri" w:hAnsi="Times New Roman" w:cs="Times New Roman"/>
          <w:b/>
          <w:bCs/>
          <w:sz w:val="28"/>
          <w:szCs w:val="28"/>
        </w:rPr>
        <w:t>Nef</w:t>
      </w:r>
      <w:r w:rsidR="00D976E8" w:rsidRPr="003900FD">
        <w:rPr>
          <w:rFonts w:ascii="Times New Roman" w:eastAsia="Calibri" w:hAnsi="Times New Roman" w:cs="Times New Roman"/>
          <w:b/>
          <w:bCs/>
          <w:sz w:val="28"/>
          <w:szCs w:val="28"/>
        </w:rPr>
        <w:t>inanšu</w:t>
      </w:r>
      <w:proofErr w:type="spellEnd"/>
      <w:r w:rsidR="00D976E8" w:rsidRPr="003900FD">
        <w:rPr>
          <w:rFonts w:ascii="Times New Roman" w:eastAsia="Calibri" w:hAnsi="Times New Roman" w:cs="Times New Roman"/>
          <w:b/>
          <w:bCs/>
          <w:sz w:val="28"/>
          <w:szCs w:val="28"/>
        </w:rPr>
        <w:t xml:space="preserve"> mērķi </w:t>
      </w:r>
    </w:p>
    <w:bookmarkEnd w:id="14"/>
    <w:p w14:paraId="363BF18E" w14:textId="442EC558" w:rsidR="006F1B73" w:rsidRPr="003900FD" w:rsidRDefault="006F1B73" w:rsidP="00D976E8">
      <w:pPr>
        <w:tabs>
          <w:tab w:val="right" w:pos="8640"/>
        </w:tabs>
        <w:spacing w:before="120" w:after="120" w:line="276" w:lineRule="auto"/>
        <w:jc w:val="both"/>
        <w:rPr>
          <w:rFonts w:ascii="Times New Roman" w:eastAsia="Calibri" w:hAnsi="Times New Roman" w:cs="Times New Roman"/>
          <w:sz w:val="24"/>
          <w:szCs w:val="24"/>
        </w:rPr>
      </w:pPr>
      <w:r w:rsidRPr="003900FD">
        <w:rPr>
          <w:rFonts w:ascii="Times New Roman" w:eastAsia="Calibri" w:hAnsi="Times New Roman" w:cs="Times New Roman"/>
          <w:sz w:val="24"/>
          <w:szCs w:val="24"/>
        </w:rPr>
        <w:t>ALTUM 201</w:t>
      </w:r>
      <w:r w:rsidR="00D2608B" w:rsidRPr="003900FD">
        <w:rPr>
          <w:rFonts w:ascii="Times New Roman" w:eastAsia="Calibri" w:hAnsi="Times New Roman" w:cs="Times New Roman"/>
          <w:sz w:val="24"/>
          <w:szCs w:val="24"/>
        </w:rPr>
        <w:t>6</w:t>
      </w:r>
      <w:r w:rsidRPr="003900FD">
        <w:rPr>
          <w:rFonts w:ascii="Times New Roman" w:eastAsia="Calibri" w:hAnsi="Times New Roman" w:cs="Times New Roman"/>
          <w:sz w:val="24"/>
          <w:szCs w:val="24"/>
        </w:rPr>
        <w:t xml:space="preserve">.gadā ir sasniegusi stratēģijā noteiktos sabiedrības </w:t>
      </w:r>
      <w:proofErr w:type="spellStart"/>
      <w:r w:rsidRPr="003900FD">
        <w:rPr>
          <w:rFonts w:ascii="Times New Roman" w:eastAsia="Calibri" w:hAnsi="Times New Roman" w:cs="Times New Roman"/>
          <w:sz w:val="24"/>
          <w:szCs w:val="24"/>
        </w:rPr>
        <w:t>nefinanšu</w:t>
      </w:r>
      <w:proofErr w:type="spellEnd"/>
      <w:r w:rsidRPr="003900FD">
        <w:rPr>
          <w:rFonts w:ascii="Times New Roman" w:eastAsia="Calibri" w:hAnsi="Times New Roman" w:cs="Times New Roman"/>
          <w:sz w:val="24"/>
          <w:szCs w:val="24"/>
        </w:rPr>
        <w:t xml:space="preserve"> mērķus un izpildījusi darbības plānā noteiktos galvenos uzdevums.</w:t>
      </w:r>
    </w:p>
    <w:tbl>
      <w:tblPr>
        <w:tblW w:w="9356" w:type="dxa"/>
        <w:tblInd w:w="-577" w:type="dxa"/>
        <w:tblLook w:val="04A0" w:firstRow="1" w:lastRow="0" w:firstColumn="1" w:lastColumn="0" w:noHBand="0" w:noVBand="1"/>
      </w:tblPr>
      <w:tblGrid>
        <w:gridCol w:w="3119"/>
        <w:gridCol w:w="1276"/>
        <w:gridCol w:w="1275"/>
        <w:gridCol w:w="1134"/>
        <w:gridCol w:w="1276"/>
        <w:gridCol w:w="1276"/>
      </w:tblGrid>
      <w:tr w:rsidR="006F1B73" w:rsidRPr="006F1B73" w14:paraId="6FAB1E03" w14:textId="77777777" w:rsidTr="00EB59B3">
        <w:trPr>
          <w:trHeight w:val="448"/>
        </w:trPr>
        <w:tc>
          <w:tcPr>
            <w:tcW w:w="311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F73C2D2" w14:textId="77777777" w:rsidR="006F1B73" w:rsidRPr="006F1B73" w:rsidRDefault="006F1B73" w:rsidP="006F1B73">
            <w:pPr>
              <w:spacing w:after="0" w:line="240" w:lineRule="auto"/>
              <w:jc w:val="center"/>
              <w:rPr>
                <w:rFonts w:ascii="Times New Roman" w:eastAsia="Times New Roman" w:hAnsi="Times New Roman" w:cs="Times New Roman"/>
                <w:lang w:eastAsia="lv-LV"/>
              </w:rPr>
            </w:pPr>
            <w:r w:rsidRPr="006F1B73">
              <w:rPr>
                <w:rFonts w:ascii="Times New Roman" w:eastAsia="Times New Roman" w:hAnsi="Times New Roman" w:cs="Times New Roman"/>
                <w:lang w:eastAsia="lv-LV"/>
              </w:rPr>
              <w:t>Mērķis</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705AFBA" w14:textId="19653200" w:rsidR="006F1B73" w:rsidRPr="006F1B73" w:rsidRDefault="006F1B73" w:rsidP="006F1B73">
            <w:pPr>
              <w:spacing w:after="0" w:line="240" w:lineRule="auto"/>
              <w:jc w:val="center"/>
              <w:rPr>
                <w:rFonts w:ascii="Times New Roman" w:eastAsia="Times New Roman" w:hAnsi="Times New Roman" w:cs="Times New Roman"/>
                <w:color w:val="000000"/>
                <w:lang w:eastAsia="lv-LV"/>
              </w:rPr>
            </w:pPr>
            <w:r w:rsidRPr="006F1B73">
              <w:rPr>
                <w:rFonts w:ascii="Times New Roman" w:eastAsia="Times New Roman" w:hAnsi="Times New Roman" w:cs="Times New Roman"/>
                <w:color w:val="000000"/>
                <w:lang w:eastAsia="lv-LV"/>
              </w:rPr>
              <w:t>Fakts 201</w:t>
            </w:r>
            <w:r w:rsidR="00D2608B">
              <w:rPr>
                <w:rFonts w:ascii="Times New Roman" w:eastAsia="Times New Roman" w:hAnsi="Times New Roman" w:cs="Times New Roman"/>
                <w:color w:val="000000"/>
                <w:lang w:eastAsia="lv-LV"/>
              </w:rPr>
              <w:t>5</w:t>
            </w:r>
            <w:r w:rsidRPr="006F1B73">
              <w:rPr>
                <w:rFonts w:ascii="Times New Roman" w:eastAsia="Times New Roman" w:hAnsi="Times New Roman" w:cs="Times New Roman"/>
                <w:color w:val="000000"/>
                <w:lang w:eastAsia="lv-LV"/>
              </w:rPr>
              <w:t>.gadā</w:t>
            </w:r>
          </w:p>
        </w:tc>
        <w:tc>
          <w:tcPr>
            <w:tcW w:w="127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03370AC" w14:textId="47055379" w:rsidR="006F1B73" w:rsidRPr="006F1B73" w:rsidRDefault="006F1B73" w:rsidP="006F1B73">
            <w:pPr>
              <w:spacing w:after="0" w:line="240" w:lineRule="auto"/>
              <w:jc w:val="center"/>
              <w:rPr>
                <w:rFonts w:ascii="Times New Roman" w:eastAsia="Times New Roman" w:hAnsi="Times New Roman" w:cs="Times New Roman"/>
                <w:color w:val="000000"/>
                <w:lang w:eastAsia="lv-LV"/>
              </w:rPr>
            </w:pPr>
            <w:r w:rsidRPr="006F1B73">
              <w:rPr>
                <w:rFonts w:ascii="Times New Roman" w:eastAsia="Times New Roman" w:hAnsi="Times New Roman" w:cs="Times New Roman"/>
                <w:color w:val="000000"/>
                <w:lang w:eastAsia="lv-LV"/>
              </w:rPr>
              <w:t>Plānotais      201</w:t>
            </w:r>
            <w:r w:rsidR="00D2608B">
              <w:rPr>
                <w:rFonts w:ascii="Times New Roman" w:eastAsia="Times New Roman" w:hAnsi="Times New Roman" w:cs="Times New Roman"/>
                <w:color w:val="000000"/>
                <w:lang w:eastAsia="lv-LV"/>
              </w:rPr>
              <w:t>6</w:t>
            </w:r>
            <w:r w:rsidRPr="006F1B73">
              <w:rPr>
                <w:rFonts w:ascii="Times New Roman" w:eastAsia="Times New Roman" w:hAnsi="Times New Roman" w:cs="Times New Roman"/>
                <w:color w:val="000000"/>
                <w:lang w:eastAsia="lv-LV"/>
              </w:rPr>
              <w:t>.gadā</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0766B39" w14:textId="2DB37751" w:rsidR="006F1B73" w:rsidRPr="006F1B73" w:rsidRDefault="006F1B73" w:rsidP="006F1B73">
            <w:pPr>
              <w:spacing w:after="0" w:line="240" w:lineRule="auto"/>
              <w:jc w:val="center"/>
              <w:rPr>
                <w:rFonts w:ascii="Times New Roman" w:eastAsia="Times New Roman" w:hAnsi="Times New Roman" w:cs="Times New Roman"/>
                <w:color w:val="000000"/>
                <w:lang w:eastAsia="lv-LV"/>
              </w:rPr>
            </w:pPr>
            <w:r w:rsidRPr="006F1B73">
              <w:rPr>
                <w:rFonts w:ascii="Times New Roman" w:eastAsia="Times New Roman" w:hAnsi="Times New Roman" w:cs="Times New Roman"/>
                <w:color w:val="000000"/>
                <w:lang w:eastAsia="lv-LV"/>
              </w:rPr>
              <w:t>Fakts         201</w:t>
            </w:r>
            <w:r w:rsidR="00D2608B">
              <w:rPr>
                <w:rFonts w:ascii="Times New Roman" w:eastAsia="Times New Roman" w:hAnsi="Times New Roman" w:cs="Times New Roman"/>
                <w:color w:val="000000"/>
                <w:lang w:eastAsia="lv-LV"/>
              </w:rPr>
              <w:t>6</w:t>
            </w:r>
            <w:r w:rsidRPr="006F1B73">
              <w:rPr>
                <w:rFonts w:ascii="Times New Roman" w:eastAsia="Times New Roman" w:hAnsi="Times New Roman" w:cs="Times New Roman"/>
                <w:color w:val="000000"/>
                <w:lang w:eastAsia="lv-LV"/>
              </w:rPr>
              <w:t>.gadā</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9FC4365" w14:textId="77777777" w:rsidR="006F1B73" w:rsidRPr="006F1B73" w:rsidRDefault="006F1B73" w:rsidP="006F1B73">
            <w:pPr>
              <w:spacing w:after="0" w:line="240" w:lineRule="auto"/>
              <w:jc w:val="center"/>
              <w:rPr>
                <w:rFonts w:ascii="Times New Roman" w:eastAsia="Times New Roman" w:hAnsi="Times New Roman" w:cs="Times New Roman"/>
                <w:color w:val="000000"/>
                <w:lang w:eastAsia="lv-LV"/>
              </w:rPr>
            </w:pPr>
            <w:r w:rsidRPr="006F1B73">
              <w:rPr>
                <w:rFonts w:ascii="Times New Roman" w:eastAsia="Times New Roman" w:hAnsi="Times New Roman" w:cs="Times New Roman"/>
                <w:color w:val="000000"/>
                <w:lang w:eastAsia="lv-LV"/>
              </w:rPr>
              <w:t>Novirze  no plānotā</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DB263CA" w14:textId="77777777" w:rsidR="006F1B73" w:rsidRPr="006F1B73" w:rsidRDefault="006F1B73" w:rsidP="006F1B73">
            <w:pPr>
              <w:spacing w:after="0" w:line="240" w:lineRule="auto"/>
              <w:jc w:val="center"/>
              <w:rPr>
                <w:rFonts w:ascii="Times New Roman" w:eastAsia="Times New Roman" w:hAnsi="Times New Roman" w:cs="Times New Roman"/>
                <w:color w:val="000000"/>
                <w:lang w:eastAsia="lv-LV"/>
              </w:rPr>
            </w:pPr>
            <w:r w:rsidRPr="006F1B73">
              <w:rPr>
                <w:rFonts w:ascii="Times New Roman" w:eastAsia="Times New Roman" w:hAnsi="Times New Roman" w:cs="Times New Roman"/>
                <w:color w:val="000000"/>
                <w:lang w:eastAsia="lv-LV"/>
              </w:rPr>
              <w:t>Novirze  no plānotā, %</w:t>
            </w:r>
          </w:p>
        </w:tc>
      </w:tr>
      <w:tr w:rsidR="009D297E" w:rsidRPr="006F1B73" w14:paraId="3C7723E8" w14:textId="77777777" w:rsidTr="00EB59B3">
        <w:trPr>
          <w:trHeight w:val="1361"/>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2AB4D02" w14:textId="77777777" w:rsidR="009D297E" w:rsidRPr="006F1B73" w:rsidRDefault="009D297E" w:rsidP="009D297E">
            <w:pPr>
              <w:spacing w:after="0" w:line="240" w:lineRule="auto"/>
              <w:rPr>
                <w:rFonts w:ascii="Times New Roman" w:eastAsia="Times New Roman" w:hAnsi="Times New Roman" w:cs="Times New Roman"/>
                <w:color w:val="000000"/>
                <w:lang w:eastAsia="lv-LV"/>
              </w:rPr>
            </w:pPr>
            <w:r w:rsidRPr="006F1B73">
              <w:rPr>
                <w:rFonts w:ascii="Times New Roman" w:eastAsia="Times New Roman" w:hAnsi="Times New Roman" w:cs="Times New Roman"/>
                <w:color w:val="000000"/>
                <w:lang w:eastAsia="lv-LV"/>
              </w:rPr>
              <w:t xml:space="preserve">Stratēģijā minētais </w:t>
            </w:r>
            <w:proofErr w:type="spellStart"/>
            <w:r w:rsidRPr="006F1B73">
              <w:rPr>
                <w:rFonts w:ascii="Times New Roman" w:eastAsia="Times New Roman" w:hAnsi="Times New Roman" w:cs="Times New Roman"/>
                <w:color w:val="000000"/>
                <w:lang w:eastAsia="lv-LV"/>
              </w:rPr>
              <w:t>nefinanšu</w:t>
            </w:r>
            <w:proofErr w:type="spellEnd"/>
            <w:r w:rsidRPr="006F1B73">
              <w:rPr>
                <w:rFonts w:ascii="Times New Roman" w:eastAsia="Times New Roman" w:hAnsi="Times New Roman" w:cs="Times New Roman"/>
                <w:color w:val="000000"/>
                <w:lang w:eastAsia="lv-LV"/>
              </w:rPr>
              <w:t xml:space="preserve"> mērķis Nr.1. Būtiski palielināt darbības apjomu no 392 (2015.g.) miljoniem līdz 767 miljoniem (2018.g.). Milj. EUR.</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0B5F934" w14:textId="3CE546AE" w:rsidR="009D297E" w:rsidRPr="007C7DB8" w:rsidRDefault="009D297E" w:rsidP="009D297E">
            <w:pPr>
              <w:spacing w:after="0" w:line="240" w:lineRule="auto"/>
              <w:jc w:val="right"/>
              <w:rPr>
                <w:rFonts w:ascii="Times New Roman" w:eastAsia="Times New Roman" w:hAnsi="Times New Roman" w:cs="Times New Roman"/>
                <w:lang w:eastAsia="lv-LV"/>
              </w:rPr>
            </w:pPr>
            <w:r w:rsidRPr="007C7DB8">
              <w:rPr>
                <w:rFonts w:ascii="Times New Roman" w:hAnsi="Times New Roman" w:cs="Times New Roman"/>
              </w:rPr>
              <w:t xml:space="preserve">395 </w:t>
            </w:r>
            <w:proofErr w:type="spellStart"/>
            <w:r w:rsidRPr="007C7DB8">
              <w:rPr>
                <w:rFonts w:ascii="Times New Roman" w:hAnsi="Times New Roman" w:cs="Times New Roman"/>
              </w:rPr>
              <w:t>mil</w:t>
            </w:r>
            <w:proofErr w:type="spellEnd"/>
            <w:r w:rsidRPr="007C7DB8">
              <w:rPr>
                <w:rFonts w:ascii="Times New Roman" w:hAnsi="Times New Roman" w:cs="Times New Roman"/>
              </w:rPr>
              <w:t>. EUR</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026118F" w14:textId="0D9A18D4" w:rsidR="009D297E" w:rsidRPr="007C7DB8" w:rsidRDefault="009D297E" w:rsidP="009D297E">
            <w:pPr>
              <w:spacing w:after="0" w:line="240" w:lineRule="auto"/>
              <w:jc w:val="right"/>
              <w:rPr>
                <w:rFonts w:ascii="Times New Roman" w:eastAsia="Times New Roman" w:hAnsi="Times New Roman" w:cs="Times New Roman"/>
                <w:lang w:eastAsia="lv-LV"/>
              </w:rPr>
            </w:pPr>
            <w:r w:rsidRPr="007C7DB8">
              <w:rPr>
                <w:rFonts w:ascii="Times New Roman" w:hAnsi="Times New Roman" w:cs="Times New Roman"/>
              </w:rPr>
              <w:t>456 milj. EUR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F7C9AB3" w14:textId="70AC0256" w:rsidR="009D297E" w:rsidRPr="007C7DB8" w:rsidRDefault="009D297E" w:rsidP="009D297E">
            <w:pPr>
              <w:spacing w:after="0" w:line="240" w:lineRule="auto"/>
              <w:jc w:val="right"/>
              <w:rPr>
                <w:rFonts w:ascii="Times New Roman" w:eastAsia="Times New Roman" w:hAnsi="Times New Roman" w:cs="Times New Roman"/>
                <w:lang w:eastAsia="lv-LV"/>
              </w:rPr>
            </w:pPr>
            <w:r w:rsidRPr="007C7DB8">
              <w:rPr>
                <w:rFonts w:ascii="Times New Roman" w:hAnsi="Times New Roman" w:cs="Times New Roman"/>
              </w:rPr>
              <w:t xml:space="preserve">436 milj. EUR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A47B9B0" w14:textId="618CA9AE" w:rsidR="009D297E" w:rsidRPr="007C7DB8" w:rsidRDefault="009D297E" w:rsidP="009D297E">
            <w:pPr>
              <w:spacing w:after="0" w:line="240" w:lineRule="auto"/>
              <w:jc w:val="right"/>
              <w:rPr>
                <w:rFonts w:ascii="Times New Roman" w:eastAsia="Times New Roman" w:hAnsi="Times New Roman" w:cs="Times New Roman"/>
                <w:lang w:eastAsia="lv-LV"/>
              </w:rPr>
            </w:pPr>
            <w:r w:rsidRPr="007C7DB8">
              <w:rPr>
                <w:rFonts w:ascii="Times New Roman" w:eastAsia="Times New Roman" w:hAnsi="Times New Roman" w:cs="Times New Roman"/>
                <w:lang w:eastAsia="lv-LV"/>
              </w:rPr>
              <w:t>-20 milj. EUR</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CAB8E18" w14:textId="4C08533D" w:rsidR="009D297E" w:rsidRPr="007C7DB8" w:rsidRDefault="009D297E" w:rsidP="009D297E">
            <w:pPr>
              <w:spacing w:after="0" w:line="240" w:lineRule="auto"/>
              <w:jc w:val="right"/>
              <w:rPr>
                <w:rFonts w:ascii="Times New Roman" w:eastAsia="Times New Roman" w:hAnsi="Times New Roman" w:cs="Times New Roman"/>
                <w:lang w:eastAsia="lv-LV"/>
              </w:rPr>
            </w:pPr>
            <w:r w:rsidRPr="007C7DB8">
              <w:rPr>
                <w:rFonts w:ascii="Times New Roman" w:eastAsia="Times New Roman" w:hAnsi="Times New Roman" w:cs="Times New Roman"/>
                <w:lang w:eastAsia="lv-LV"/>
              </w:rPr>
              <w:t>-4%</w:t>
            </w:r>
          </w:p>
        </w:tc>
      </w:tr>
      <w:tr w:rsidR="006F1B73" w:rsidRPr="006F1B73" w14:paraId="3F318F12" w14:textId="77777777" w:rsidTr="00EB59B3">
        <w:trPr>
          <w:trHeight w:val="182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1A9586B" w14:textId="77777777" w:rsidR="006F1B73" w:rsidRPr="006F1B73" w:rsidRDefault="006F1B73" w:rsidP="006F1B73">
            <w:pPr>
              <w:spacing w:after="0" w:line="240" w:lineRule="auto"/>
              <w:rPr>
                <w:rFonts w:ascii="Times New Roman" w:eastAsia="Times New Roman" w:hAnsi="Times New Roman" w:cs="Times New Roman"/>
                <w:color w:val="000000"/>
                <w:lang w:eastAsia="lv-LV"/>
              </w:rPr>
            </w:pPr>
            <w:r w:rsidRPr="006F1B73">
              <w:rPr>
                <w:rFonts w:ascii="Times New Roman" w:eastAsia="Times New Roman" w:hAnsi="Times New Roman" w:cs="Times New Roman"/>
                <w:color w:val="000000"/>
                <w:lang w:eastAsia="lv-LV"/>
              </w:rPr>
              <w:t xml:space="preserve">Stratēģijā minētais </w:t>
            </w:r>
            <w:proofErr w:type="spellStart"/>
            <w:r w:rsidRPr="006F1B73">
              <w:rPr>
                <w:rFonts w:ascii="Times New Roman" w:eastAsia="Times New Roman" w:hAnsi="Times New Roman" w:cs="Times New Roman"/>
                <w:color w:val="000000"/>
                <w:lang w:eastAsia="lv-LV"/>
              </w:rPr>
              <w:t>nefinanšu</w:t>
            </w:r>
            <w:proofErr w:type="spellEnd"/>
            <w:r w:rsidRPr="006F1B73">
              <w:rPr>
                <w:rFonts w:ascii="Times New Roman" w:eastAsia="Times New Roman" w:hAnsi="Times New Roman" w:cs="Times New Roman"/>
                <w:color w:val="000000"/>
                <w:lang w:eastAsia="lv-LV"/>
              </w:rPr>
              <w:t xml:space="preserve"> mērķis Nr.2. Veicināt finanšu resursu 1,043,042 tūkst. apmērā ieguldīšanu tautsaimniecības attīstībā īstenoto valsts atbalsta </w:t>
            </w:r>
            <w:proofErr w:type="spellStart"/>
            <w:r w:rsidRPr="006F1B73">
              <w:rPr>
                <w:rFonts w:ascii="Times New Roman" w:eastAsia="Times New Roman" w:hAnsi="Times New Roman" w:cs="Times New Roman"/>
                <w:color w:val="000000"/>
                <w:lang w:eastAsia="lv-LV"/>
              </w:rPr>
              <w:t>progr</w:t>
            </w:r>
            <w:proofErr w:type="spellEnd"/>
            <w:r w:rsidRPr="006F1B73">
              <w:rPr>
                <w:rFonts w:ascii="Times New Roman" w:eastAsia="Times New Roman" w:hAnsi="Times New Roman" w:cs="Times New Roman"/>
                <w:color w:val="000000"/>
                <w:lang w:eastAsia="lv-LV"/>
              </w:rPr>
              <w:t xml:space="preserve">. ietvaros. Vidēji 347 </w:t>
            </w:r>
            <w:proofErr w:type="spellStart"/>
            <w:r w:rsidRPr="006F1B73">
              <w:rPr>
                <w:rFonts w:ascii="Times New Roman" w:eastAsia="Times New Roman" w:hAnsi="Times New Roman" w:cs="Times New Roman"/>
                <w:color w:val="000000"/>
                <w:lang w:eastAsia="lv-LV"/>
              </w:rPr>
              <w:t>mil</w:t>
            </w:r>
            <w:proofErr w:type="spellEnd"/>
            <w:r w:rsidRPr="006F1B73">
              <w:rPr>
                <w:rFonts w:ascii="Times New Roman" w:eastAsia="Times New Roman" w:hAnsi="Times New Roman" w:cs="Times New Roman"/>
                <w:color w:val="000000"/>
                <w:lang w:eastAsia="lv-LV"/>
              </w:rPr>
              <w:t>. EUR gadā.      Milj. EUR.</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8B1D23F" w14:textId="79C042AE" w:rsidR="006F1B73" w:rsidRPr="009D297E" w:rsidRDefault="009D297E" w:rsidP="006F1B73">
            <w:pPr>
              <w:spacing w:after="0" w:line="240" w:lineRule="auto"/>
              <w:jc w:val="right"/>
              <w:rPr>
                <w:rFonts w:ascii="Times New Roman" w:eastAsia="Times New Roman" w:hAnsi="Times New Roman" w:cs="Times New Roman"/>
                <w:lang w:eastAsia="lv-LV"/>
              </w:rPr>
            </w:pPr>
            <w:r w:rsidRPr="009D297E">
              <w:rPr>
                <w:rFonts w:ascii="Times New Roman" w:eastAsia="Times New Roman" w:hAnsi="Times New Roman" w:cs="Times New Roman"/>
                <w:lang w:eastAsia="lv-LV"/>
              </w:rPr>
              <w:t>ND</w:t>
            </w:r>
            <w:r w:rsidR="006F1B73" w:rsidRPr="009D297E">
              <w:rPr>
                <w:rFonts w:ascii="Times New Roman" w:eastAsia="Times New Roman" w:hAnsi="Times New Roman" w:cs="Times New Roman"/>
                <w:lang w:eastAsia="lv-LV"/>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8DB7866" w14:textId="77777777" w:rsidR="006F1B73" w:rsidRPr="009D297E" w:rsidRDefault="006F1B73" w:rsidP="006F1B73">
            <w:pPr>
              <w:spacing w:after="0" w:line="240" w:lineRule="auto"/>
              <w:jc w:val="right"/>
              <w:rPr>
                <w:rFonts w:ascii="Times New Roman" w:eastAsia="Times New Roman" w:hAnsi="Times New Roman" w:cs="Times New Roman"/>
                <w:lang w:eastAsia="lv-LV"/>
              </w:rPr>
            </w:pPr>
            <w:r w:rsidRPr="009D297E">
              <w:rPr>
                <w:rFonts w:ascii="Times New Roman" w:eastAsia="Times New Roman" w:hAnsi="Times New Roman" w:cs="Times New Roman"/>
                <w:lang w:eastAsia="lv-LV"/>
              </w:rPr>
              <w:t>347 milj. EUR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6A6E621" w14:textId="66D172D8" w:rsidR="006F1B73" w:rsidRPr="009D297E" w:rsidRDefault="006F1B73" w:rsidP="006F1B73">
            <w:pPr>
              <w:spacing w:after="0" w:line="240" w:lineRule="auto"/>
              <w:jc w:val="right"/>
              <w:rPr>
                <w:rFonts w:ascii="Times New Roman" w:eastAsia="Times New Roman" w:hAnsi="Times New Roman" w:cs="Times New Roman"/>
                <w:lang w:eastAsia="lv-LV"/>
              </w:rPr>
            </w:pPr>
            <w:r w:rsidRPr="009D297E">
              <w:rPr>
                <w:rFonts w:ascii="Times New Roman" w:eastAsia="Times New Roman" w:hAnsi="Times New Roman" w:cs="Times New Roman"/>
                <w:lang w:eastAsia="lv-LV"/>
              </w:rPr>
              <w:t>3</w:t>
            </w:r>
            <w:r w:rsidR="009D297E" w:rsidRPr="009D297E">
              <w:rPr>
                <w:rFonts w:ascii="Times New Roman" w:eastAsia="Times New Roman" w:hAnsi="Times New Roman" w:cs="Times New Roman"/>
                <w:lang w:eastAsia="lv-LV"/>
              </w:rPr>
              <w:t>60</w:t>
            </w:r>
            <w:r w:rsidRPr="009D297E">
              <w:rPr>
                <w:rFonts w:ascii="Times New Roman" w:eastAsia="Times New Roman" w:hAnsi="Times New Roman" w:cs="Times New Roman"/>
                <w:lang w:eastAsia="lv-LV"/>
              </w:rPr>
              <w:t xml:space="preserve"> milj. EUR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BD74A3F" w14:textId="7F6D198E" w:rsidR="006F1B73" w:rsidRPr="009D297E" w:rsidRDefault="006F1B73" w:rsidP="006F1B73">
            <w:pPr>
              <w:spacing w:after="0" w:line="240" w:lineRule="auto"/>
              <w:jc w:val="right"/>
              <w:rPr>
                <w:rFonts w:ascii="Times New Roman" w:eastAsia="Times New Roman" w:hAnsi="Times New Roman" w:cs="Times New Roman"/>
                <w:lang w:eastAsia="lv-LV"/>
              </w:rPr>
            </w:pPr>
            <w:r w:rsidRPr="009D297E">
              <w:rPr>
                <w:rFonts w:ascii="Times New Roman" w:eastAsia="Times New Roman" w:hAnsi="Times New Roman" w:cs="Times New Roman"/>
                <w:lang w:eastAsia="lv-LV"/>
              </w:rPr>
              <w:t>+</w:t>
            </w:r>
            <w:r w:rsidR="009D297E" w:rsidRPr="009D297E">
              <w:rPr>
                <w:rFonts w:ascii="Times New Roman" w:eastAsia="Times New Roman" w:hAnsi="Times New Roman" w:cs="Times New Roman"/>
                <w:lang w:eastAsia="lv-LV"/>
              </w:rPr>
              <w:t>13</w:t>
            </w:r>
            <w:r w:rsidRPr="009D297E">
              <w:rPr>
                <w:rFonts w:ascii="Times New Roman" w:eastAsia="Times New Roman" w:hAnsi="Times New Roman" w:cs="Times New Roman"/>
                <w:lang w:eastAsia="lv-LV"/>
              </w:rPr>
              <w:t xml:space="preserve"> </w:t>
            </w:r>
            <w:proofErr w:type="spellStart"/>
            <w:r w:rsidRPr="009D297E">
              <w:rPr>
                <w:rFonts w:ascii="Times New Roman" w:eastAsia="Times New Roman" w:hAnsi="Times New Roman" w:cs="Times New Roman"/>
                <w:lang w:eastAsia="lv-LV"/>
              </w:rPr>
              <w:t>mil</w:t>
            </w:r>
            <w:proofErr w:type="spellEnd"/>
            <w:r w:rsidRPr="009D297E">
              <w:rPr>
                <w:rFonts w:ascii="Times New Roman" w:eastAsia="Times New Roman" w:hAnsi="Times New Roman" w:cs="Times New Roman"/>
                <w:lang w:eastAsia="lv-LV"/>
              </w:rPr>
              <w:t>. EUR</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D480697" w14:textId="4BF326F4" w:rsidR="006F1B73" w:rsidRPr="009D297E" w:rsidRDefault="006F1B73" w:rsidP="006F1B73">
            <w:pPr>
              <w:spacing w:after="0" w:line="240" w:lineRule="auto"/>
              <w:jc w:val="right"/>
              <w:rPr>
                <w:rFonts w:ascii="Times New Roman" w:eastAsia="Times New Roman" w:hAnsi="Times New Roman" w:cs="Times New Roman"/>
                <w:lang w:eastAsia="lv-LV"/>
              </w:rPr>
            </w:pPr>
            <w:r w:rsidRPr="009D297E">
              <w:rPr>
                <w:rFonts w:ascii="Times New Roman" w:eastAsia="Times New Roman" w:hAnsi="Times New Roman" w:cs="Times New Roman"/>
                <w:lang w:eastAsia="lv-LV"/>
              </w:rPr>
              <w:t>+</w:t>
            </w:r>
            <w:r w:rsidR="009D297E" w:rsidRPr="009D297E">
              <w:rPr>
                <w:rFonts w:ascii="Times New Roman" w:eastAsia="Times New Roman" w:hAnsi="Times New Roman" w:cs="Times New Roman"/>
                <w:lang w:eastAsia="lv-LV"/>
              </w:rPr>
              <w:t>4</w:t>
            </w:r>
            <w:r w:rsidRPr="009D297E">
              <w:rPr>
                <w:rFonts w:ascii="Times New Roman" w:eastAsia="Times New Roman" w:hAnsi="Times New Roman" w:cs="Times New Roman"/>
                <w:lang w:eastAsia="lv-LV"/>
              </w:rPr>
              <w:t>%</w:t>
            </w:r>
          </w:p>
        </w:tc>
      </w:tr>
      <w:tr w:rsidR="006F1B73" w:rsidRPr="009D297E" w14:paraId="76C4A58B" w14:textId="77777777" w:rsidTr="00EB59B3">
        <w:trPr>
          <w:trHeight w:val="84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6B4A7290" w14:textId="77777777" w:rsidR="006F1B73" w:rsidRPr="006F1B73" w:rsidRDefault="006F1B73" w:rsidP="006F1B73">
            <w:pPr>
              <w:spacing w:after="0" w:line="240" w:lineRule="auto"/>
              <w:rPr>
                <w:rFonts w:ascii="Times New Roman" w:eastAsia="Times New Roman" w:hAnsi="Times New Roman" w:cs="Times New Roman"/>
                <w:color w:val="000000"/>
                <w:lang w:eastAsia="lv-LV"/>
              </w:rPr>
            </w:pPr>
            <w:r w:rsidRPr="006F1B73">
              <w:rPr>
                <w:rFonts w:ascii="Times New Roman" w:eastAsia="Times New Roman" w:hAnsi="Times New Roman" w:cs="Times New Roman"/>
                <w:color w:val="000000"/>
                <w:lang w:eastAsia="lv-LV"/>
              </w:rPr>
              <w:lastRenderedPageBreak/>
              <w:t xml:space="preserve">Stratēģijā minētais </w:t>
            </w:r>
            <w:proofErr w:type="spellStart"/>
            <w:r w:rsidRPr="006F1B73">
              <w:rPr>
                <w:rFonts w:ascii="Times New Roman" w:eastAsia="Times New Roman" w:hAnsi="Times New Roman" w:cs="Times New Roman"/>
                <w:color w:val="000000"/>
                <w:lang w:eastAsia="lv-LV"/>
              </w:rPr>
              <w:t>nefinanšu</w:t>
            </w:r>
            <w:proofErr w:type="spellEnd"/>
            <w:r w:rsidRPr="006F1B73">
              <w:rPr>
                <w:rFonts w:ascii="Times New Roman" w:eastAsia="Times New Roman" w:hAnsi="Times New Roman" w:cs="Times New Roman"/>
                <w:color w:val="000000"/>
                <w:lang w:eastAsia="lv-LV"/>
              </w:rPr>
              <w:t xml:space="preserve"> mērķis Nr.3. Palielināt efektivitāti.</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219F407" w14:textId="77777777" w:rsidR="006F1B73" w:rsidRPr="009D297E" w:rsidRDefault="006F1B73" w:rsidP="006F1B73">
            <w:pPr>
              <w:spacing w:after="0" w:line="240" w:lineRule="auto"/>
              <w:jc w:val="right"/>
              <w:rPr>
                <w:rFonts w:ascii="Times New Roman" w:eastAsia="Times New Roman" w:hAnsi="Times New Roman" w:cs="Times New Roman"/>
                <w:lang w:eastAsia="lv-LV"/>
              </w:rPr>
            </w:pPr>
            <w:r w:rsidRPr="009D297E">
              <w:rPr>
                <w:rFonts w:ascii="Times New Roman" w:eastAsia="Times New Roman" w:hAnsi="Times New Roman" w:cs="Times New Roman"/>
                <w:lang w:eastAsia="lv-LV"/>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8B371CE" w14:textId="77777777" w:rsidR="006F1B73" w:rsidRPr="009D297E" w:rsidRDefault="006F1B73" w:rsidP="006F1B73">
            <w:pPr>
              <w:spacing w:after="0" w:line="240" w:lineRule="auto"/>
              <w:jc w:val="right"/>
              <w:rPr>
                <w:rFonts w:ascii="Times New Roman" w:eastAsia="Times New Roman" w:hAnsi="Times New Roman" w:cs="Times New Roman"/>
                <w:lang w:eastAsia="lv-LV"/>
              </w:rPr>
            </w:pPr>
            <w:r w:rsidRPr="009D297E">
              <w:rPr>
                <w:rFonts w:ascii="Times New Roman" w:eastAsia="Times New Roman" w:hAnsi="Times New Roman" w:cs="Times New Roman"/>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721CDB0" w14:textId="77777777" w:rsidR="006F1B73" w:rsidRPr="009D297E" w:rsidRDefault="006F1B73" w:rsidP="006F1B73">
            <w:pPr>
              <w:spacing w:after="0" w:line="240" w:lineRule="auto"/>
              <w:jc w:val="right"/>
              <w:rPr>
                <w:rFonts w:ascii="Times New Roman" w:eastAsia="Times New Roman" w:hAnsi="Times New Roman" w:cs="Times New Roman"/>
                <w:lang w:eastAsia="lv-LV"/>
              </w:rPr>
            </w:pPr>
            <w:r w:rsidRPr="009D297E">
              <w:rPr>
                <w:rFonts w:ascii="Times New Roman" w:eastAsia="Times New Roman" w:hAnsi="Times New Roman" w:cs="Times New Roman"/>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6DCE1AE" w14:textId="77777777" w:rsidR="006F1B73" w:rsidRPr="009D297E" w:rsidRDefault="006F1B73" w:rsidP="006F1B73">
            <w:pPr>
              <w:spacing w:after="0" w:line="240" w:lineRule="auto"/>
              <w:jc w:val="right"/>
              <w:rPr>
                <w:rFonts w:ascii="Times New Roman" w:eastAsia="Times New Roman" w:hAnsi="Times New Roman" w:cs="Times New Roman"/>
                <w:lang w:eastAsia="lv-LV"/>
              </w:rPr>
            </w:pPr>
            <w:r w:rsidRPr="009D297E">
              <w:rPr>
                <w:rFonts w:ascii="Times New Roman" w:eastAsia="Times New Roman" w:hAnsi="Times New Roman" w:cs="Times New Roman"/>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2CABD15" w14:textId="77777777" w:rsidR="006F1B73" w:rsidRPr="009D297E" w:rsidRDefault="006F1B73" w:rsidP="006F1B73">
            <w:pPr>
              <w:spacing w:after="0" w:line="240" w:lineRule="auto"/>
              <w:jc w:val="right"/>
              <w:rPr>
                <w:rFonts w:ascii="Times New Roman" w:eastAsia="Times New Roman" w:hAnsi="Times New Roman" w:cs="Times New Roman"/>
                <w:lang w:eastAsia="lv-LV"/>
              </w:rPr>
            </w:pPr>
            <w:r w:rsidRPr="009D297E">
              <w:rPr>
                <w:rFonts w:ascii="Times New Roman" w:eastAsia="Times New Roman" w:hAnsi="Times New Roman" w:cs="Times New Roman"/>
                <w:lang w:eastAsia="lv-LV"/>
              </w:rPr>
              <w:t> </w:t>
            </w:r>
          </w:p>
        </w:tc>
      </w:tr>
      <w:tr w:rsidR="006F1B73" w:rsidRPr="009D297E" w14:paraId="1BB2C987" w14:textId="77777777" w:rsidTr="00EB59B3">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10FBA4E" w14:textId="77777777" w:rsidR="006F1B73" w:rsidRPr="006F1B73" w:rsidRDefault="006F1B73" w:rsidP="006F1B73">
            <w:pPr>
              <w:spacing w:after="0" w:line="240" w:lineRule="auto"/>
              <w:rPr>
                <w:rFonts w:ascii="Times New Roman" w:eastAsia="Times New Roman" w:hAnsi="Times New Roman" w:cs="Times New Roman"/>
                <w:color w:val="000000"/>
                <w:lang w:eastAsia="lv-LV"/>
              </w:rPr>
            </w:pPr>
            <w:r w:rsidRPr="006F1B73">
              <w:rPr>
                <w:rFonts w:ascii="Times New Roman" w:eastAsia="Times New Roman" w:hAnsi="Times New Roman" w:cs="Times New Roman"/>
                <w:color w:val="000000"/>
                <w:lang w:eastAsia="lv-LV"/>
              </w:rPr>
              <w:t>Rādītājs Nr. 3.1. Administratīvie izdevumi pret vidējo atbalsta programmu apjomu,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36B4970" w14:textId="78BD9B88" w:rsidR="006F1B73" w:rsidRPr="009D297E" w:rsidRDefault="006F1B73" w:rsidP="006F1B73">
            <w:pPr>
              <w:spacing w:after="0" w:line="240" w:lineRule="auto"/>
              <w:jc w:val="right"/>
              <w:rPr>
                <w:rFonts w:ascii="Times New Roman" w:eastAsia="Times New Roman" w:hAnsi="Times New Roman" w:cs="Times New Roman"/>
                <w:lang w:eastAsia="lv-LV"/>
              </w:rPr>
            </w:pPr>
            <w:r w:rsidRPr="009D297E">
              <w:rPr>
                <w:rFonts w:ascii="Times New Roman" w:eastAsia="Times New Roman" w:hAnsi="Times New Roman" w:cs="Times New Roman"/>
                <w:lang w:eastAsia="lv-LV"/>
              </w:rPr>
              <w:t>2.</w:t>
            </w:r>
            <w:r w:rsidR="009D297E" w:rsidRPr="009D297E">
              <w:rPr>
                <w:rFonts w:ascii="Times New Roman" w:eastAsia="Times New Roman" w:hAnsi="Times New Roman" w:cs="Times New Roman"/>
                <w:lang w:eastAsia="lv-LV"/>
              </w:rPr>
              <w:t>9</w:t>
            </w:r>
            <w:r w:rsidRPr="009D297E">
              <w:rPr>
                <w:rFonts w:ascii="Times New Roman" w:eastAsia="Times New Roman" w:hAnsi="Times New Roman" w:cs="Times New Roman"/>
                <w:lang w:eastAsia="lv-LV"/>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5ECEDFB" w14:textId="576AB9AF" w:rsidR="006F1B73" w:rsidRPr="009D297E" w:rsidRDefault="009D297E" w:rsidP="006F1B73">
            <w:pPr>
              <w:spacing w:after="0" w:line="240" w:lineRule="auto"/>
              <w:jc w:val="right"/>
              <w:rPr>
                <w:rFonts w:ascii="Times New Roman" w:eastAsia="Times New Roman" w:hAnsi="Times New Roman" w:cs="Times New Roman"/>
                <w:lang w:eastAsia="lv-LV"/>
              </w:rPr>
            </w:pPr>
            <w:r w:rsidRPr="009D297E">
              <w:rPr>
                <w:rFonts w:ascii="Times New Roman" w:eastAsia="Times New Roman" w:hAnsi="Times New Roman" w:cs="Times New Roman"/>
                <w:lang w:eastAsia="lv-LV"/>
              </w:rPr>
              <w:t>2</w:t>
            </w:r>
            <w:r w:rsidR="006F1B73" w:rsidRPr="009D297E">
              <w:rPr>
                <w:rFonts w:ascii="Times New Roman" w:eastAsia="Times New Roman" w:hAnsi="Times New Roman" w:cs="Times New Roman"/>
                <w:lang w:eastAsia="lv-LV"/>
              </w:rPr>
              <w:t>.</w:t>
            </w:r>
            <w:r w:rsidRPr="009D297E">
              <w:rPr>
                <w:rFonts w:ascii="Times New Roman" w:eastAsia="Times New Roman" w:hAnsi="Times New Roman" w:cs="Times New Roman"/>
                <w:lang w:eastAsia="lv-LV"/>
              </w:rPr>
              <w:t>42</w:t>
            </w:r>
            <w:r w:rsidR="006F1B73" w:rsidRPr="009D297E">
              <w:rPr>
                <w:rFonts w:ascii="Times New Roman" w:eastAsia="Times New Roman" w:hAnsi="Times New Roman" w:cs="Times New Roman"/>
                <w:lang w:eastAsia="lv-LV"/>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729B0A" w14:textId="6CAF8AE2" w:rsidR="006F1B73" w:rsidRPr="009D297E" w:rsidRDefault="009D297E" w:rsidP="006F1B73">
            <w:pPr>
              <w:spacing w:after="0" w:line="240" w:lineRule="auto"/>
              <w:jc w:val="right"/>
              <w:rPr>
                <w:rFonts w:ascii="Times New Roman" w:eastAsia="Times New Roman" w:hAnsi="Times New Roman" w:cs="Times New Roman"/>
                <w:lang w:eastAsia="lv-LV"/>
              </w:rPr>
            </w:pPr>
            <w:r w:rsidRPr="009D297E">
              <w:rPr>
                <w:rFonts w:ascii="Times New Roman" w:eastAsia="Times New Roman" w:hAnsi="Times New Roman" w:cs="Times New Roman"/>
                <w:lang w:eastAsia="lv-LV"/>
              </w:rPr>
              <w:t>2</w:t>
            </w:r>
            <w:r w:rsidR="006F1B73" w:rsidRPr="009D297E">
              <w:rPr>
                <w:rFonts w:ascii="Times New Roman" w:eastAsia="Times New Roman" w:hAnsi="Times New Roman" w:cs="Times New Roman"/>
                <w:lang w:eastAsia="lv-LV"/>
              </w:rPr>
              <w:t>.</w:t>
            </w:r>
            <w:r w:rsidRPr="009D297E">
              <w:rPr>
                <w:rFonts w:ascii="Times New Roman" w:eastAsia="Times New Roman" w:hAnsi="Times New Roman" w:cs="Times New Roman"/>
                <w:lang w:eastAsia="lv-LV"/>
              </w:rPr>
              <w:t>75</w:t>
            </w:r>
            <w:r w:rsidR="006F1B73" w:rsidRPr="009D297E">
              <w:rPr>
                <w:rFonts w:ascii="Times New Roman" w:eastAsia="Times New Roman" w:hAnsi="Times New Roman" w:cs="Times New Roman"/>
                <w:lang w:eastAsia="lv-LV"/>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0B294D8" w14:textId="7BF4783A" w:rsidR="006F1B73" w:rsidRPr="009D297E" w:rsidRDefault="006F1B73" w:rsidP="006F1B73">
            <w:pPr>
              <w:spacing w:after="0" w:line="240" w:lineRule="auto"/>
              <w:jc w:val="right"/>
              <w:rPr>
                <w:rFonts w:ascii="Times New Roman" w:eastAsia="Times New Roman" w:hAnsi="Times New Roman" w:cs="Times New Roman"/>
                <w:lang w:eastAsia="lv-LV"/>
              </w:rPr>
            </w:pPr>
            <w:r w:rsidRPr="009D297E">
              <w:rPr>
                <w:rFonts w:ascii="Times New Roman" w:eastAsia="Times New Roman" w:hAnsi="Times New Roman" w:cs="Times New Roman"/>
                <w:lang w:eastAsia="lv-LV"/>
              </w:rPr>
              <w:t>+0.</w:t>
            </w:r>
            <w:r w:rsidR="009D297E" w:rsidRPr="009D297E">
              <w:rPr>
                <w:rFonts w:ascii="Times New Roman" w:eastAsia="Times New Roman" w:hAnsi="Times New Roman" w:cs="Times New Roman"/>
                <w:lang w:eastAsia="lv-LV"/>
              </w:rPr>
              <w:t>33</w:t>
            </w:r>
            <w:r w:rsidRPr="009D297E">
              <w:rPr>
                <w:rFonts w:ascii="Times New Roman" w:eastAsia="Times New Roman" w:hAnsi="Times New Roman" w:cs="Times New Roman"/>
                <w:lang w:eastAsia="lv-LV"/>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E04DD82" w14:textId="024FEE2D" w:rsidR="006F1B73" w:rsidRPr="009D297E" w:rsidRDefault="006F1B73" w:rsidP="006F1B73">
            <w:pPr>
              <w:spacing w:after="0" w:line="240" w:lineRule="auto"/>
              <w:jc w:val="right"/>
              <w:rPr>
                <w:rFonts w:ascii="Times New Roman" w:eastAsia="Times New Roman" w:hAnsi="Times New Roman" w:cs="Times New Roman"/>
                <w:lang w:eastAsia="lv-LV"/>
              </w:rPr>
            </w:pPr>
            <w:r w:rsidRPr="009D297E">
              <w:rPr>
                <w:rFonts w:ascii="Times New Roman" w:eastAsia="Times New Roman" w:hAnsi="Times New Roman" w:cs="Times New Roman"/>
                <w:lang w:eastAsia="lv-LV"/>
              </w:rPr>
              <w:t>+</w:t>
            </w:r>
            <w:r w:rsidR="009D297E" w:rsidRPr="009D297E">
              <w:rPr>
                <w:rFonts w:ascii="Times New Roman" w:eastAsia="Times New Roman" w:hAnsi="Times New Roman" w:cs="Times New Roman"/>
                <w:lang w:eastAsia="lv-LV"/>
              </w:rPr>
              <w:t>1</w:t>
            </w:r>
            <w:r w:rsidRPr="009D297E">
              <w:rPr>
                <w:rFonts w:ascii="Times New Roman" w:eastAsia="Times New Roman" w:hAnsi="Times New Roman" w:cs="Times New Roman"/>
                <w:lang w:eastAsia="lv-LV"/>
              </w:rPr>
              <w:t>4%</w:t>
            </w:r>
          </w:p>
        </w:tc>
      </w:tr>
      <w:tr w:rsidR="006F1B73" w:rsidRPr="009D297E" w14:paraId="0A76EB82" w14:textId="77777777" w:rsidTr="00EB59B3">
        <w:trPr>
          <w:trHeight w:val="102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34E9F8EA" w14:textId="77777777" w:rsidR="006F1B73" w:rsidRPr="006F1B73" w:rsidRDefault="006F1B73" w:rsidP="006F1B73">
            <w:pPr>
              <w:spacing w:after="0" w:line="240" w:lineRule="auto"/>
              <w:rPr>
                <w:rFonts w:ascii="Times New Roman" w:eastAsia="Times New Roman" w:hAnsi="Times New Roman" w:cs="Times New Roman"/>
                <w:color w:val="000000"/>
                <w:lang w:eastAsia="lv-LV"/>
              </w:rPr>
            </w:pPr>
            <w:r w:rsidRPr="006F1B73">
              <w:rPr>
                <w:rFonts w:ascii="Times New Roman" w:eastAsia="Times New Roman" w:hAnsi="Times New Roman" w:cs="Times New Roman"/>
                <w:color w:val="000000"/>
                <w:lang w:eastAsia="lv-LV"/>
              </w:rPr>
              <w:t>Rādītājs Nr. 3. 2. Atbalsta programmu apjoms uz strādājošo, milj. EUR  uz strādājošo</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EFEFDAE" w14:textId="155AF2A7" w:rsidR="006F1B73" w:rsidRPr="009D297E" w:rsidRDefault="009D297E" w:rsidP="006F1B73">
            <w:pPr>
              <w:spacing w:after="0" w:line="240" w:lineRule="auto"/>
              <w:jc w:val="right"/>
              <w:rPr>
                <w:rFonts w:ascii="Times New Roman" w:eastAsia="Times New Roman" w:hAnsi="Times New Roman" w:cs="Times New Roman"/>
                <w:lang w:eastAsia="lv-LV"/>
              </w:rPr>
            </w:pPr>
            <w:r w:rsidRPr="009D297E">
              <w:rPr>
                <w:rFonts w:ascii="Times New Roman" w:eastAsia="Times New Roman" w:hAnsi="Times New Roman" w:cs="Times New Roman"/>
                <w:lang w:eastAsia="lv-LV"/>
              </w:rPr>
              <w:t>1</w:t>
            </w:r>
            <w:r w:rsidR="006F1B73" w:rsidRPr="009D297E">
              <w:rPr>
                <w:rFonts w:ascii="Times New Roman" w:eastAsia="Times New Roman" w:hAnsi="Times New Roman" w:cs="Times New Roman"/>
                <w:lang w:eastAsia="lv-LV"/>
              </w:rPr>
              <w:t>.</w:t>
            </w:r>
            <w:r w:rsidRPr="009D297E">
              <w:rPr>
                <w:rFonts w:ascii="Times New Roman" w:eastAsia="Times New Roman" w:hAnsi="Times New Roman" w:cs="Times New Roman"/>
                <w:lang w:eastAsia="lv-LV"/>
              </w:rPr>
              <w:t>6</w:t>
            </w:r>
            <w:r w:rsidR="006F1B73" w:rsidRPr="009D297E">
              <w:rPr>
                <w:rFonts w:ascii="Times New Roman" w:eastAsia="Times New Roman" w:hAnsi="Times New Roman" w:cs="Times New Roman"/>
                <w:lang w:eastAsia="lv-LV"/>
              </w:rPr>
              <w:t xml:space="preserve"> milj. EUR  uz strādājošo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756B96D" w14:textId="7A6CEAFE" w:rsidR="006F1B73" w:rsidRPr="009D297E" w:rsidRDefault="009D297E" w:rsidP="006F1B73">
            <w:pPr>
              <w:spacing w:after="0" w:line="240" w:lineRule="auto"/>
              <w:jc w:val="right"/>
              <w:rPr>
                <w:rFonts w:ascii="Times New Roman" w:eastAsia="Times New Roman" w:hAnsi="Times New Roman" w:cs="Times New Roman"/>
                <w:lang w:eastAsia="lv-LV"/>
              </w:rPr>
            </w:pPr>
            <w:r w:rsidRPr="009D297E">
              <w:rPr>
                <w:rFonts w:ascii="Times New Roman" w:eastAsia="Times New Roman" w:hAnsi="Times New Roman" w:cs="Times New Roman"/>
                <w:lang w:eastAsia="lv-LV"/>
              </w:rPr>
              <w:t>2</w:t>
            </w:r>
            <w:r w:rsidR="006F1B73" w:rsidRPr="009D297E">
              <w:rPr>
                <w:rFonts w:ascii="Times New Roman" w:eastAsia="Times New Roman" w:hAnsi="Times New Roman" w:cs="Times New Roman"/>
                <w:lang w:eastAsia="lv-LV"/>
              </w:rPr>
              <w:t>.</w:t>
            </w:r>
            <w:r w:rsidRPr="009D297E">
              <w:rPr>
                <w:rFonts w:ascii="Times New Roman" w:eastAsia="Times New Roman" w:hAnsi="Times New Roman" w:cs="Times New Roman"/>
                <w:lang w:eastAsia="lv-LV"/>
              </w:rPr>
              <w:t>3</w:t>
            </w:r>
            <w:r w:rsidR="006F1B73" w:rsidRPr="009D297E">
              <w:rPr>
                <w:rFonts w:ascii="Times New Roman" w:eastAsia="Times New Roman" w:hAnsi="Times New Roman" w:cs="Times New Roman"/>
                <w:lang w:eastAsia="lv-LV"/>
              </w:rPr>
              <w:t xml:space="preserve"> milj. EUR  uz strādājošo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51473CD" w14:textId="77777777" w:rsidR="006F1B73" w:rsidRPr="009D297E" w:rsidRDefault="006F1B73" w:rsidP="006F1B73">
            <w:pPr>
              <w:spacing w:after="0" w:line="240" w:lineRule="auto"/>
              <w:jc w:val="right"/>
              <w:rPr>
                <w:rFonts w:ascii="Times New Roman" w:eastAsia="Times New Roman" w:hAnsi="Times New Roman" w:cs="Times New Roman"/>
                <w:lang w:eastAsia="lv-LV"/>
              </w:rPr>
            </w:pPr>
            <w:r w:rsidRPr="009D297E">
              <w:rPr>
                <w:rFonts w:ascii="Times New Roman" w:eastAsia="Times New Roman" w:hAnsi="Times New Roman" w:cs="Times New Roman"/>
                <w:lang w:eastAsia="lv-LV"/>
              </w:rPr>
              <w:t xml:space="preserve">2.1 milj. EUR  uz strādājošo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CAB33D8" w14:textId="276F5788" w:rsidR="006F1B73" w:rsidRPr="009D297E" w:rsidRDefault="006F1B73" w:rsidP="006F1B73">
            <w:pPr>
              <w:spacing w:after="0" w:line="240" w:lineRule="auto"/>
              <w:jc w:val="right"/>
              <w:rPr>
                <w:rFonts w:ascii="Times New Roman" w:eastAsia="Times New Roman" w:hAnsi="Times New Roman" w:cs="Times New Roman"/>
                <w:lang w:eastAsia="lv-LV"/>
              </w:rPr>
            </w:pPr>
            <w:r w:rsidRPr="009D297E">
              <w:rPr>
                <w:rFonts w:ascii="Times New Roman" w:eastAsia="Times New Roman" w:hAnsi="Times New Roman" w:cs="Times New Roman"/>
                <w:lang w:eastAsia="lv-LV"/>
              </w:rPr>
              <w:t>-</w:t>
            </w:r>
            <w:r w:rsidR="009D297E" w:rsidRPr="009D297E">
              <w:rPr>
                <w:rFonts w:ascii="Times New Roman" w:eastAsia="Times New Roman" w:hAnsi="Times New Roman" w:cs="Times New Roman"/>
                <w:lang w:eastAsia="lv-LV"/>
              </w:rPr>
              <w:t>0</w:t>
            </w:r>
            <w:r w:rsidRPr="009D297E">
              <w:rPr>
                <w:rFonts w:ascii="Times New Roman" w:eastAsia="Times New Roman" w:hAnsi="Times New Roman" w:cs="Times New Roman"/>
                <w:lang w:eastAsia="lv-LV"/>
              </w:rPr>
              <w:t>.</w:t>
            </w:r>
            <w:r w:rsidR="009D297E" w:rsidRPr="009D297E">
              <w:rPr>
                <w:rFonts w:ascii="Times New Roman" w:eastAsia="Times New Roman" w:hAnsi="Times New Roman" w:cs="Times New Roman"/>
                <w:lang w:eastAsia="lv-LV"/>
              </w:rPr>
              <w:t>2</w:t>
            </w:r>
            <w:r w:rsidRPr="009D297E">
              <w:rPr>
                <w:rFonts w:ascii="Times New Roman" w:eastAsia="Times New Roman" w:hAnsi="Times New Roman" w:cs="Times New Roman"/>
                <w:lang w:eastAsia="lv-LV"/>
              </w:rPr>
              <w:t xml:space="preserve"> </w:t>
            </w:r>
            <w:proofErr w:type="spellStart"/>
            <w:r w:rsidRPr="009D297E">
              <w:rPr>
                <w:rFonts w:ascii="Times New Roman" w:eastAsia="Times New Roman" w:hAnsi="Times New Roman" w:cs="Times New Roman"/>
                <w:lang w:eastAsia="lv-LV"/>
              </w:rPr>
              <w:t>milj</w:t>
            </w:r>
            <w:proofErr w:type="spellEnd"/>
            <w:r w:rsidRPr="009D297E">
              <w:rPr>
                <w:rFonts w:ascii="Times New Roman" w:eastAsia="Times New Roman" w:hAnsi="Times New Roman" w:cs="Times New Roman"/>
                <w:lang w:eastAsia="lv-LV"/>
              </w:rPr>
              <w:t xml:space="preserve"> EUR uz strādājošo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EF0E466" w14:textId="25498D69" w:rsidR="006F1B73" w:rsidRPr="009D297E" w:rsidRDefault="006F1B73" w:rsidP="006F1B73">
            <w:pPr>
              <w:spacing w:after="0" w:line="240" w:lineRule="auto"/>
              <w:jc w:val="right"/>
              <w:rPr>
                <w:rFonts w:ascii="Times New Roman" w:eastAsia="Times New Roman" w:hAnsi="Times New Roman" w:cs="Times New Roman"/>
                <w:lang w:eastAsia="lv-LV"/>
              </w:rPr>
            </w:pPr>
            <w:r w:rsidRPr="009D297E">
              <w:rPr>
                <w:rFonts w:ascii="Times New Roman" w:eastAsia="Times New Roman" w:hAnsi="Times New Roman" w:cs="Times New Roman"/>
                <w:lang w:eastAsia="lv-LV"/>
              </w:rPr>
              <w:t>-</w:t>
            </w:r>
            <w:r w:rsidR="009D297E" w:rsidRPr="009D297E">
              <w:rPr>
                <w:rFonts w:ascii="Times New Roman" w:eastAsia="Times New Roman" w:hAnsi="Times New Roman" w:cs="Times New Roman"/>
                <w:lang w:eastAsia="lv-LV"/>
              </w:rPr>
              <w:t>9</w:t>
            </w:r>
            <w:r w:rsidRPr="009D297E">
              <w:rPr>
                <w:rFonts w:ascii="Times New Roman" w:eastAsia="Times New Roman" w:hAnsi="Times New Roman" w:cs="Times New Roman"/>
                <w:lang w:eastAsia="lv-LV"/>
              </w:rPr>
              <w:t xml:space="preserve">%    </w:t>
            </w:r>
          </w:p>
        </w:tc>
      </w:tr>
      <w:tr w:rsidR="006F1B73" w:rsidRPr="009D297E" w14:paraId="7A146CE0" w14:textId="77777777" w:rsidTr="00EB59B3">
        <w:trPr>
          <w:trHeight w:val="938"/>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F359486" w14:textId="77777777" w:rsidR="006F1B73" w:rsidRPr="006F1B73" w:rsidRDefault="006F1B73" w:rsidP="006F1B73">
            <w:pPr>
              <w:spacing w:after="0" w:line="240" w:lineRule="auto"/>
              <w:rPr>
                <w:rFonts w:ascii="Times New Roman" w:eastAsia="Times New Roman" w:hAnsi="Times New Roman" w:cs="Times New Roman"/>
                <w:color w:val="000000"/>
                <w:lang w:eastAsia="lv-LV"/>
              </w:rPr>
            </w:pPr>
            <w:r w:rsidRPr="006F1B73">
              <w:rPr>
                <w:rFonts w:ascii="Times New Roman" w:eastAsia="Times New Roman" w:hAnsi="Times New Roman" w:cs="Times New Roman"/>
                <w:color w:val="000000"/>
                <w:lang w:eastAsia="lv-LV"/>
              </w:rPr>
              <w:t xml:space="preserve">Rādītājs Nr. 3.3.  Programmu projektu skaits uz vienu strādājošo, projekti uz strādājošo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58F984C" w14:textId="5047D410" w:rsidR="006F1B73" w:rsidRPr="009D297E" w:rsidRDefault="009D297E" w:rsidP="006F1B73">
            <w:pPr>
              <w:spacing w:after="0" w:line="240" w:lineRule="auto"/>
              <w:jc w:val="right"/>
              <w:rPr>
                <w:rFonts w:ascii="Times New Roman" w:eastAsia="Times New Roman" w:hAnsi="Times New Roman" w:cs="Times New Roman"/>
                <w:lang w:eastAsia="lv-LV"/>
              </w:rPr>
            </w:pPr>
            <w:r w:rsidRPr="009D297E">
              <w:rPr>
                <w:rFonts w:ascii="Times New Roman" w:eastAsia="Times New Roman" w:hAnsi="Times New Roman" w:cs="Times New Roman"/>
                <w:lang w:eastAsia="lv-LV"/>
              </w:rPr>
              <w:t>37</w:t>
            </w:r>
            <w:r w:rsidR="006F1B73" w:rsidRPr="009D297E">
              <w:rPr>
                <w:rFonts w:ascii="Times New Roman" w:eastAsia="Times New Roman" w:hAnsi="Times New Roman" w:cs="Times New Roman"/>
                <w:lang w:eastAsia="lv-LV"/>
              </w:rPr>
              <w:t>.</w:t>
            </w:r>
            <w:r w:rsidRPr="009D297E">
              <w:rPr>
                <w:rFonts w:ascii="Times New Roman" w:eastAsia="Times New Roman" w:hAnsi="Times New Roman" w:cs="Times New Roman"/>
                <w:lang w:eastAsia="lv-LV"/>
              </w:rPr>
              <w:t>3</w:t>
            </w:r>
            <w:r w:rsidR="006F1B73" w:rsidRPr="009D297E">
              <w:rPr>
                <w:rFonts w:ascii="Times New Roman" w:eastAsia="Times New Roman" w:hAnsi="Times New Roman" w:cs="Times New Roman"/>
                <w:lang w:eastAsia="lv-LV"/>
              </w:rPr>
              <w:t xml:space="preserve"> projekti uz strādājošo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0D25741" w14:textId="409A8A94" w:rsidR="006F1B73" w:rsidRPr="009D297E" w:rsidRDefault="009D297E" w:rsidP="006F1B73">
            <w:pPr>
              <w:spacing w:after="0" w:line="240" w:lineRule="auto"/>
              <w:jc w:val="right"/>
              <w:rPr>
                <w:rFonts w:ascii="Times New Roman" w:eastAsia="Times New Roman" w:hAnsi="Times New Roman" w:cs="Times New Roman"/>
                <w:lang w:eastAsia="lv-LV"/>
              </w:rPr>
            </w:pPr>
            <w:r w:rsidRPr="009D297E">
              <w:rPr>
                <w:rFonts w:ascii="Times New Roman" w:eastAsia="Times New Roman" w:hAnsi="Times New Roman" w:cs="Times New Roman"/>
                <w:lang w:eastAsia="lv-LV"/>
              </w:rPr>
              <w:t>44</w:t>
            </w:r>
            <w:r w:rsidR="006F1B73" w:rsidRPr="009D297E">
              <w:rPr>
                <w:rFonts w:ascii="Times New Roman" w:eastAsia="Times New Roman" w:hAnsi="Times New Roman" w:cs="Times New Roman"/>
                <w:lang w:eastAsia="lv-LV"/>
              </w:rPr>
              <w:t>.</w:t>
            </w:r>
            <w:r w:rsidRPr="009D297E">
              <w:rPr>
                <w:rFonts w:ascii="Times New Roman" w:eastAsia="Times New Roman" w:hAnsi="Times New Roman" w:cs="Times New Roman"/>
                <w:lang w:eastAsia="lv-LV"/>
              </w:rPr>
              <w:t>1</w:t>
            </w:r>
            <w:r w:rsidR="006F1B73" w:rsidRPr="009D297E">
              <w:rPr>
                <w:rFonts w:ascii="Times New Roman" w:eastAsia="Times New Roman" w:hAnsi="Times New Roman" w:cs="Times New Roman"/>
                <w:lang w:eastAsia="lv-LV"/>
              </w:rPr>
              <w:t xml:space="preserve"> projekti uz strādājošo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06A2291" w14:textId="65962214" w:rsidR="006F1B73" w:rsidRPr="009D297E" w:rsidRDefault="009D297E" w:rsidP="006F1B73">
            <w:pPr>
              <w:spacing w:after="0" w:line="240" w:lineRule="auto"/>
              <w:jc w:val="right"/>
              <w:rPr>
                <w:rFonts w:ascii="Times New Roman" w:eastAsia="Times New Roman" w:hAnsi="Times New Roman" w:cs="Times New Roman"/>
                <w:lang w:eastAsia="lv-LV"/>
              </w:rPr>
            </w:pPr>
            <w:r w:rsidRPr="009D297E">
              <w:rPr>
                <w:rFonts w:ascii="Times New Roman" w:eastAsia="Times New Roman" w:hAnsi="Times New Roman" w:cs="Times New Roman"/>
                <w:lang w:eastAsia="lv-LV"/>
              </w:rPr>
              <w:t>56</w:t>
            </w:r>
            <w:r w:rsidR="006F1B73" w:rsidRPr="009D297E">
              <w:rPr>
                <w:rFonts w:ascii="Times New Roman" w:eastAsia="Times New Roman" w:hAnsi="Times New Roman" w:cs="Times New Roman"/>
                <w:lang w:eastAsia="lv-LV"/>
              </w:rPr>
              <w:t>.</w:t>
            </w:r>
            <w:r w:rsidRPr="009D297E">
              <w:rPr>
                <w:rFonts w:ascii="Times New Roman" w:eastAsia="Times New Roman" w:hAnsi="Times New Roman" w:cs="Times New Roman"/>
                <w:lang w:eastAsia="lv-LV"/>
              </w:rPr>
              <w:t>1</w:t>
            </w:r>
            <w:r w:rsidR="006F1B73" w:rsidRPr="009D297E">
              <w:rPr>
                <w:rFonts w:ascii="Times New Roman" w:eastAsia="Times New Roman" w:hAnsi="Times New Roman" w:cs="Times New Roman"/>
                <w:lang w:eastAsia="lv-LV"/>
              </w:rPr>
              <w:t xml:space="preserve"> projekti uz strādājošo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2BCF93A" w14:textId="21DA8CED" w:rsidR="006F1B73" w:rsidRPr="009D297E" w:rsidRDefault="006F1B73" w:rsidP="006F1B73">
            <w:pPr>
              <w:spacing w:after="0" w:line="240" w:lineRule="auto"/>
              <w:jc w:val="right"/>
              <w:rPr>
                <w:rFonts w:ascii="Times New Roman" w:eastAsia="Times New Roman" w:hAnsi="Times New Roman" w:cs="Times New Roman"/>
                <w:lang w:eastAsia="lv-LV"/>
              </w:rPr>
            </w:pPr>
            <w:r w:rsidRPr="009D297E">
              <w:rPr>
                <w:rFonts w:ascii="Times New Roman" w:eastAsia="Times New Roman" w:hAnsi="Times New Roman" w:cs="Times New Roman"/>
                <w:lang w:eastAsia="lv-LV"/>
              </w:rPr>
              <w:t>+</w:t>
            </w:r>
            <w:r w:rsidR="009D297E" w:rsidRPr="009D297E">
              <w:rPr>
                <w:rFonts w:ascii="Times New Roman" w:eastAsia="Times New Roman" w:hAnsi="Times New Roman" w:cs="Times New Roman"/>
                <w:lang w:eastAsia="lv-LV"/>
              </w:rPr>
              <w:t>12</w:t>
            </w:r>
            <w:r w:rsidRPr="009D297E">
              <w:rPr>
                <w:rFonts w:ascii="Times New Roman" w:eastAsia="Times New Roman" w:hAnsi="Times New Roman" w:cs="Times New Roman"/>
                <w:lang w:eastAsia="lv-LV"/>
              </w:rPr>
              <w:t xml:space="preserve"> projekti uz strādājošo</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6B21D23" w14:textId="0A4E0BD5" w:rsidR="006F1B73" w:rsidRPr="009D297E" w:rsidRDefault="006F1B73" w:rsidP="006F1B73">
            <w:pPr>
              <w:spacing w:after="0" w:line="240" w:lineRule="auto"/>
              <w:jc w:val="right"/>
              <w:rPr>
                <w:rFonts w:ascii="Times New Roman" w:eastAsia="Times New Roman" w:hAnsi="Times New Roman" w:cs="Times New Roman"/>
                <w:lang w:eastAsia="lv-LV"/>
              </w:rPr>
            </w:pPr>
            <w:r w:rsidRPr="009D297E">
              <w:rPr>
                <w:rFonts w:ascii="Times New Roman" w:eastAsia="Times New Roman" w:hAnsi="Times New Roman" w:cs="Times New Roman"/>
                <w:lang w:eastAsia="lv-LV"/>
              </w:rPr>
              <w:t xml:space="preserve"> +2</w:t>
            </w:r>
            <w:r w:rsidR="009D297E" w:rsidRPr="009D297E">
              <w:rPr>
                <w:rFonts w:ascii="Times New Roman" w:eastAsia="Times New Roman" w:hAnsi="Times New Roman" w:cs="Times New Roman"/>
                <w:lang w:eastAsia="lv-LV"/>
              </w:rPr>
              <w:t>7</w:t>
            </w:r>
            <w:r w:rsidRPr="009D297E">
              <w:rPr>
                <w:rFonts w:ascii="Times New Roman" w:eastAsia="Times New Roman" w:hAnsi="Times New Roman" w:cs="Times New Roman"/>
                <w:lang w:eastAsia="lv-LV"/>
              </w:rPr>
              <w:t>%</w:t>
            </w:r>
          </w:p>
        </w:tc>
      </w:tr>
      <w:tr w:rsidR="006F1B73" w:rsidRPr="006F1B73" w14:paraId="6F777D63" w14:textId="77777777" w:rsidTr="00EB59B3">
        <w:trPr>
          <w:trHeight w:val="1452"/>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CA1D12C" w14:textId="77777777" w:rsidR="006F1B73" w:rsidRPr="006F1B73" w:rsidRDefault="006F1B73" w:rsidP="006F1B73">
            <w:pPr>
              <w:spacing w:after="0" w:line="240" w:lineRule="auto"/>
              <w:rPr>
                <w:rFonts w:ascii="Times New Roman" w:eastAsia="Times New Roman" w:hAnsi="Times New Roman" w:cs="Times New Roman"/>
                <w:color w:val="000000"/>
                <w:lang w:eastAsia="lv-LV"/>
              </w:rPr>
            </w:pPr>
            <w:r w:rsidRPr="006F1B73">
              <w:rPr>
                <w:rFonts w:ascii="Times New Roman" w:eastAsia="Times New Roman" w:hAnsi="Times New Roman" w:cs="Times New Roman"/>
                <w:color w:val="000000"/>
                <w:lang w:eastAsia="lv-LV"/>
              </w:rPr>
              <w:t xml:space="preserve">Stratēģijā minētais </w:t>
            </w:r>
            <w:proofErr w:type="spellStart"/>
            <w:r w:rsidRPr="006F1B73">
              <w:rPr>
                <w:rFonts w:ascii="Times New Roman" w:eastAsia="Times New Roman" w:hAnsi="Times New Roman" w:cs="Times New Roman"/>
                <w:color w:val="000000"/>
                <w:lang w:eastAsia="lv-LV"/>
              </w:rPr>
              <w:t>nefinanšu</w:t>
            </w:r>
            <w:proofErr w:type="spellEnd"/>
            <w:r w:rsidRPr="006F1B73">
              <w:rPr>
                <w:rFonts w:ascii="Times New Roman" w:eastAsia="Times New Roman" w:hAnsi="Times New Roman" w:cs="Times New Roman"/>
                <w:color w:val="000000"/>
                <w:lang w:eastAsia="lv-LV"/>
              </w:rPr>
              <w:t xml:space="preserve"> mērķis Nr.4. Nodrošināt izcilu apkalpošanu klientiem.</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6E2724D" w14:textId="01E10765" w:rsidR="006F1B73" w:rsidRPr="009D297E" w:rsidRDefault="009D297E" w:rsidP="006F1B73">
            <w:pPr>
              <w:spacing w:after="0" w:line="240" w:lineRule="auto"/>
              <w:jc w:val="right"/>
              <w:rPr>
                <w:rFonts w:ascii="Times New Roman" w:eastAsia="Times New Roman" w:hAnsi="Times New Roman" w:cs="Times New Roman"/>
                <w:lang w:eastAsia="lv-LV"/>
              </w:rPr>
            </w:pPr>
            <w:r w:rsidRPr="009D297E">
              <w:rPr>
                <w:rFonts w:ascii="Times New Roman" w:eastAsia="Times New Roman" w:hAnsi="Times New Roman" w:cs="Times New Roman"/>
                <w:lang w:eastAsia="lv-LV"/>
              </w:rPr>
              <w:t>-</w:t>
            </w:r>
            <w:r w:rsidR="006F1B73" w:rsidRPr="009D297E">
              <w:rPr>
                <w:rFonts w:ascii="Times New Roman" w:eastAsia="Times New Roman" w:hAnsi="Times New Roman" w:cs="Times New Roman"/>
                <w:lang w:eastAsia="lv-LV"/>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847F4C7" w14:textId="77777777" w:rsidR="006F1B73" w:rsidRPr="009D297E" w:rsidRDefault="006F1B73" w:rsidP="006F1B73">
            <w:pPr>
              <w:spacing w:after="0" w:line="240" w:lineRule="auto"/>
              <w:jc w:val="right"/>
              <w:rPr>
                <w:rFonts w:ascii="Times New Roman" w:eastAsia="Times New Roman" w:hAnsi="Times New Roman" w:cs="Times New Roman"/>
                <w:lang w:eastAsia="lv-LV"/>
              </w:rPr>
            </w:pPr>
            <w:r w:rsidRPr="009D297E">
              <w:rPr>
                <w:rFonts w:ascii="Times New Roman" w:eastAsia="Times New Roman" w:hAnsi="Times New Roman" w:cs="Times New Roman"/>
                <w:lang w:eastAsia="lv-LV"/>
              </w:rPr>
              <w:t>Pozitīvs novērtē-jums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B8632FD" w14:textId="77777777" w:rsidR="006F1B73" w:rsidRPr="009D297E" w:rsidRDefault="006F1B73" w:rsidP="006F1B73">
            <w:pPr>
              <w:spacing w:after="0" w:line="240" w:lineRule="auto"/>
              <w:jc w:val="right"/>
              <w:rPr>
                <w:rFonts w:ascii="Times New Roman" w:eastAsia="Times New Roman" w:hAnsi="Times New Roman" w:cs="Times New Roman"/>
                <w:lang w:eastAsia="lv-LV"/>
              </w:rPr>
            </w:pPr>
            <w:r w:rsidRPr="009D297E">
              <w:rPr>
                <w:rFonts w:ascii="Times New Roman" w:eastAsia="Times New Roman" w:hAnsi="Times New Roman" w:cs="Times New Roman"/>
                <w:lang w:eastAsia="lv-LV"/>
              </w:rPr>
              <w:t xml:space="preserve">Pozitīvs ārējais novērtē- jums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65ECC56" w14:textId="77777777" w:rsidR="006F1B73" w:rsidRPr="009D297E" w:rsidRDefault="006F1B73" w:rsidP="006F1B73">
            <w:pPr>
              <w:spacing w:after="0" w:line="240" w:lineRule="auto"/>
              <w:jc w:val="right"/>
              <w:rPr>
                <w:rFonts w:ascii="Times New Roman" w:eastAsia="Times New Roman" w:hAnsi="Times New Roman" w:cs="Times New Roman"/>
                <w:lang w:eastAsia="lv-LV"/>
              </w:rPr>
            </w:pPr>
            <w:r w:rsidRPr="009D297E">
              <w:rPr>
                <w:rFonts w:ascii="Times New Roman" w:eastAsia="Times New Roman" w:hAnsi="Times New Roman" w:cs="Times New Roman"/>
                <w:lang w:eastAsia="lv-LV"/>
              </w:rPr>
              <w:t xml:space="preserve">Izpildīts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DD1AA19" w14:textId="77777777" w:rsidR="006F1B73" w:rsidRPr="009D297E" w:rsidRDefault="006F1B73" w:rsidP="006F1B73">
            <w:pPr>
              <w:spacing w:after="0" w:line="240" w:lineRule="auto"/>
              <w:jc w:val="right"/>
              <w:rPr>
                <w:rFonts w:ascii="Times New Roman" w:eastAsia="Times New Roman" w:hAnsi="Times New Roman" w:cs="Times New Roman"/>
                <w:lang w:eastAsia="lv-LV"/>
              </w:rPr>
            </w:pPr>
            <w:r w:rsidRPr="009D297E">
              <w:rPr>
                <w:rFonts w:ascii="Times New Roman" w:eastAsia="Times New Roman" w:hAnsi="Times New Roman" w:cs="Times New Roman"/>
                <w:lang w:eastAsia="lv-LV"/>
              </w:rPr>
              <w:t>Izpildīts</w:t>
            </w:r>
          </w:p>
        </w:tc>
      </w:tr>
      <w:tr w:rsidR="006F1B73" w:rsidRPr="006F1B73" w14:paraId="396F3274" w14:textId="77777777" w:rsidTr="00EB59B3">
        <w:trPr>
          <w:trHeight w:val="1266"/>
        </w:trPr>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561225FD" w14:textId="77777777" w:rsidR="006F1B73" w:rsidRPr="006F1B73" w:rsidRDefault="006F1B73" w:rsidP="006F1B73">
            <w:pPr>
              <w:spacing w:after="0" w:line="240" w:lineRule="auto"/>
              <w:rPr>
                <w:rFonts w:ascii="Times New Roman" w:eastAsia="Times New Roman" w:hAnsi="Times New Roman" w:cs="Times New Roman"/>
                <w:color w:val="000000"/>
                <w:lang w:eastAsia="lv-LV"/>
              </w:rPr>
            </w:pPr>
            <w:r w:rsidRPr="006F1B73">
              <w:rPr>
                <w:rFonts w:ascii="Times New Roman" w:eastAsia="Times New Roman" w:hAnsi="Times New Roman" w:cs="Times New Roman"/>
                <w:color w:val="000000"/>
                <w:lang w:eastAsia="lv-LV"/>
              </w:rPr>
              <w:t xml:space="preserve">Stratēģijā minētais </w:t>
            </w:r>
            <w:proofErr w:type="spellStart"/>
            <w:r w:rsidRPr="006F1B73">
              <w:rPr>
                <w:rFonts w:ascii="Times New Roman" w:eastAsia="Times New Roman" w:hAnsi="Times New Roman" w:cs="Times New Roman"/>
                <w:color w:val="000000"/>
                <w:lang w:eastAsia="lv-LV"/>
              </w:rPr>
              <w:t>nefinanšu</w:t>
            </w:r>
            <w:proofErr w:type="spellEnd"/>
            <w:r w:rsidRPr="006F1B73">
              <w:rPr>
                <w:rFonts w:ascii="Times New Roman" w:eastAsia="Times New Roman" w:hAnsi="Times New Roman" w:cs="Times New Roman"/>
                <w:color w:val="000000"/>
                <w:lang w:eastAsia="lv-LV"/>
              </w:rPr>
              <w:t xml:space="preserve"> mērķis Nr.5. Ieviest jaunus valsts atbalsta instrumentus, tostarp:</w:t>
            </w:r>
            <w:r w:rsidRPr="006F1B73">
              <w:rPr>
                <w:rFonts w:ascii="Times New Roman" w:eastAsia="Times New Roman" w:hAnsi="Times New Roman" w:cs="Times New Roman"/>
                <w:color w:val="000000"/>
                <w:lang w:eastAsia="lv-LV"/>
              </w:rPr>
              <w:br w:type="page"/>
              <w:t xml:space="preserve">- Fondu fonda pārvaldi, </w:t>
            </w:r>
            <w:r w:rsidRPr="006F1B73">
              <w:rPr>
                <w:rFonts w:ascii="Times New Roman" w:eastAsia="Times New Roman" w:hAnsi="Times New Roman" w:cs="Times New Roman"/>
                <w:color w:val="000000"/>
                <w:lang w:eastAsia="lv-LV"/>
              </w:rPr>
              <w:br w:type="page"/>
              <w:t xml:space="preserve">- EFSI programmas, </w:t>
            </w:r>
            <w:r w:rsidRPr="006F1B73">
              <w:rPr>
                <w:rFonts w:ascii="Times New Roman" w:eastAsia="Times New Roman" w:hAnsi="Times New Roman" w:cs="Times New Roman"/>
                <w:color w:val="000000"/>
                <w:lang w:eastAsia="lv-LV"/>
              </w:rPr>
              <w:br w:type="page"/>
              <w:t xml:space="preserve">- DME programmas, </w:t>
            </w:r>
            <w:r w:rsidRPr="006F1B73">
              <w:rPr>
                <w:rFonts w:ascii="Times New Roman" w:eastAsia="Times New Roman" w:hAnsi="Times New Roman" w:cs="Times New Roman"/>
                <w:color w:val="000000"/>
                <w:lang w:eastAsia="lv-LV"/>
              </w:rPr>
              <w:br w:type="page"/>
              <w:t>- reversās l/s zemes nomas pakalpojumus u.c.</w:t>
            </w:r>
          </w:p>
        </w:tc>
        <w:tc>
          <w:tcPr>
            <w:tcW w:w="1276" w:type="dxa"/>
            <w:tcBorders>
              <w:top w:val="single" w:sz="4" w:space="0" w:color="auto"/>
              <w:left w:val="nil"/>
              <w:bottom w:val="single" w:sz="8" w:space="0" w:color="auto"/>
              <w:right w:val="single" w:sz="8" w:space="0" w:color="auto"/>
            </w:tcBorders>
            <w:shd w:val="clear" w:color="auto" w:fill="auto"/>
            <w:hideMark/>
          </w:tcPr>
          <w:p w14:paraId="114851D3" w14:textId="68329E4C" w:rsidR="006F1B73" w:rsidRPr="009D297E" w:rsidRDefault="009D297E" w:rsidP="006F1B73">
            <w:pPr>
              <w:spacing w:after="0" w:line="240" w:lineRule="auto"/>
              <w:jc w:val="right"/>
              <w:rPr>
                <w:rFonts w:ascii="Times New Roman" w:eastAsia="Times New Roman" w:hAnsi="Times New Roman" w:cs="Times New Roman"/>
                <w:lang w:eastAsia="lv-LV"/>
              </w:rPr>
            </w:pPr>
            <w:r w:rsidRPr="009D297E">
              <w:rPr>
                <w:rFonts w:ascii="Times New Roman" w:eastAsia="Times New Roman" w:hAnsi="Times New Roman" w:cs="Times New Roman"/>
                <w:lang w:eastAsia="lv-LV"/>
              </w:rPr>
              <w:t>-</w:t>
            </w:r>
          </w:p>
        </w:tc>
        <w:tc>
          <w:tcPr>
            <w:tcW w:w="1275" w:type="dxa"/>
            <w:tcBorders>
              <w:top w:val="single" w:sz="4" w:space="0" w:color="auto"/>
              <w:left w:val="nil"/>
              <w:bottom w:val="single" w:sz="8" w:space="0" w:color="auto"/>
              <w:right w:val="single" w:sz="8" w:space="0" w:color="auto"/>
            </w:tcBorders>
            <w:shd w:val="clear" w:color="auto" w:fill="auto"/>
            <w:hideMark/>
          </w:tcPr>
          <w:p w14:paraId="1E77C93F" w14:textId="77777777" w:rsidR="006F1B73" w:rsidRPr="009D297E" w:rsidRDefault="006F1B73" w:rsidP="006F1B73">
            <w:pPr>
              <w:spacing w:after="0" w:line="240" w:lineRule="auto"/>
              <w:jc w:val="right"/>
              <w:rPr>
                <w:rFonts w:ascii="Times New Roman" w:eastAsia="Times New Roman" w:hAnsi="Times New Roman" w:cs="Times New Roman"/>
                <w:lang w:eastAsia="lv-LV"/>
              </w:rPr>
            </w:pPr>
            <w:r w:rsidRPr="009D297E">
              <w:rPr>
                <w:rFonts w:ascii="Times New Roman" w:eastAsia="Times New Roman" w:hAnsi="Times New Roman" w:cs="Times New Roman"/>
                <w:lang w:eastAsia="lv-LV"/>
              </w:rPr>
              <w:t>Ieviest jaunus atbalsta instr. atbilstoši Darbības plānam</w:t>
            </w:r>
          </w:p>
        </w:tc>
        <w:tc>
          <w:tcPr>
            <w:tcW w:w="1134" w:type="dxa"/>
            <w:tcBorders>
              <w:top w:val="single" w:sz="4" w:space="0" w:color="auto"/>
              <w:left w:val="nil"/>
              <w:bottom w:val="single" w:sz="8" w:space="0" w:color="auto"/>
              <w:right w:val="single" w:sz="8" w:space="0" w:color="auto"/>
            </w:tcBorders>
            <w:shd w:val="clear" w:color="auto" w:fill="auto"/>
            <w:hideMark/>
          </w:tcPr>
          <w:p w14:paraId="74703533" w14:textId="77777777" w:rsidR="006F1B73" w:rsidRPr="009D297E" w:rsidRDefault="006F1B73" w:rsidP="006F1B73">
            <w:pPr>
              <w:spacing w:after="0" w:line="240" w:lineRule="auto"/>
              <w:jc w:val="right"/>
              <w:rPr>
                <w:rFonts w:ascii="Times New Roman" w:eastAsia="Times New Roman" w:hAnsi="Times New Roman" w:cs="Times New Roman"/>
                <w:lang w:eastAsia="lv-LV"/>
              </w:rPr>
            </w:pPr>
            <w:r w:rsidRPr="009D297E">
              <w:rPr>
                <w:rFonts w:ascii="Times New Roman" w:eastAsia="Times New Roman" w:hAnsi="Times New Roman" w:cs="Times New Roman"/>
                <w:lang w:eastAsia="lv-LV"/>
              </w:rPr>
              <w:t>Ieviesti jauni atbalsta instr. atbilstoši Darbības plānam</w:t>
            </w:r>
          </w:p>
        </w:tc>
        <w:tc>
          <w:tcPr>
            <w:tcW w:w="1276" w:type="dxa"/>
            <w:tcBorders>
              <w:top w:val="single" w:sz="4" w:space="0" w:color="auto"/>
              <w:left w:val="nil"/>
              <w:bottom w:val="single" w:sz="8" w:space="0" w:color="auto"/>
              <w:right w:val="single" w:sz="8" w:space="0" w:color="auto"/>
            </w:tcBorders>
            <w:shd w:val="clear" w:color="auto" w:fill="auto"/>
            <w:hideMark/>
          </w:tcPr>
          <w:p w14:paraId="0FB5D207" w14:textId="77777777" w:rsidR="006F1B73" w:rsidRPr="009D297E" w:rsidRDefault="006F1B73" w:rsidP="006F1B73">
            <w:pPr>
              <w:spacing w:after="0" w:line="240" w:lineRule="auto"/>
              <w:jc w:val="right"/>
              <w:rPr>
                <w:rFonts w:ascii="Times New Roman" w:eastAsia="Times New Roman" w:hAnsi="Times New Roman" w:cs="Times New Roman"/>
                <w:lang w:eastAsia="lv-LV"/>
              </w:rPr>
            </w:pPr>
            <w:r w:rsidRPr="009D297E">
              <w:rPr>
                <w:rFonts w:ascii="Times New Roman" w:eastAsia="Times New Roman" w:hAnsi="Times New Roman" w:cs="Times New Roman"/>
                <w:lang w:eastAsia="lv-LV"/>
              </w:rPr>
              <w:t>Izpildīts</w:t>
            </w:r>
          </w:p>
        </w:tc>
        <w:tc>
          <w:tcPr>
            <w:tcW w:w="1276" w:type="dxa"/>
            <w:tcBorders>
              <w:top w:val="single" w:sz="4" w:space="0" w:color="auto"/>
              <w:left w:val="nil"/>
              <w:bottom w:val="single" w:sz="8" w:space="0" w:color="auto"/>
              <w:right w:val="single" w:sz="8" w:space="0" w:color="auto"/>
            </w:tcBorders>
            <w:shd w:val="clear" w:color="auto" w:fill="auto"/>
            <w:hideMark/>
          </w:tcPr>
          <w:p w14:paraId="4D470A9E" w14:textId="77777777" w:rsidR="006F1B73" w:rsidRPr="009D297E" w:rsidRDefault="006F1B73" w:rsidP="006F1B73">
            <w:pPr>
              <w:spacing w:after="0" w:line="240" w:lineRule="auto"/>
              <w:jc w:val="right"/>
              <w:rPr>
                <w:rFonts w:ascii="Times New Roman" w:eastAsia="Times New Roman" w:hAnsi="Times New Roman" w:cs="Times New Roman"/>
                <w:lang w:eastAsia="lv-LV"/>
              </w:rPr>
            </w:pPr>
            <w:r w:rsidRPr="009D297E">
              <w:rPr>
                <w:rFonts w:ascii="Times New Roman" w:eastAsia="Times New Roman" w:hAnsi="Times New Roman" w:cs="Times New Roman"/>
                <w:lang w:eastAsia="lv-LV"/>
              </w:rPr>
              <w:t>Izpildīts</w:t>
            </w:r>
          </w:p>
        </w:tc>
      </w:tr>
    </w:tbl>
    <w:p w14:paraId="6E262CDE" w14:textId="77777777" w:rsidR="006F1B73" w:rsidRPr="006F1B73" w:rsidRDefault="006F1B73" w:rsidP="00F91F43">
      <w:pPr>
        <w:spacing w:after="120"/>
        <w:jc w:val="both"/>
        <w:rPr>
          <w:rFonts w:ascii="Times New Roman" w:eastAsia="Times New Roman" w:hAnsi="Times New Roman"/>
          <w:highlight w:val="yellow"/>
          <w:u w:val="single"/>
        </w:rPr>
      </w:pPr>
    </w:p>
    <w:p w14:paraId="594D9190" w14:textId="77777777" w:rsidR="003900FD" w:rsidRPr="009D00C4" w:rsidRDefault="003900FD" w:rsidP="003900FD">
      <w:pPr>
        <w:pStyle w:val="ListParagraph"/>
        <w:numPr>
          <w:ilvl w:val="0"/>
          <w:numId w:val="1"/>
        </w:numPr>
        <w:spacing w:after="120"/>
        <w:ind w:left="357" w:hanging="357"/>
        <w:jc w:val="both"/>
        <w:rPr>
          <w:rFonts w:ascii="Times New Roman" w:hAnsi="Times New Roman"/>
          <w:sz w:val="24"/>
          <w:szCs w:val="24"/>
          <w:u w:val="single"/>
        </w:rPr>
      </w:pPr>
      <w:proofErr w:type="spellStart"/>
      <w:r w:rsidRPr="009D00C4">
        <w:rPr>
          <w:rFonts w:ascii="Times New Roman" w:eastAsia="Times New Roman" w:hAnsi="Times New Roman"/>
          <w:sz w:val="24"/>
          <w:szCs w:val="24"/>
          <w:u w:val="single"/>
        </w:rPr>
        <w:t>Nefinanšu</w:t>
      </w:r>
      <w:proofErr w:type="spellEnd"/>
      <w:r w:rsidRPr="009D00C4">
        <w:rPr>
          <w:rFonts w:ascii="Times New Roman" w:eastAsia="Times New Roman" w:hAnsi="Times New Roman"/>
          <w:sz w:val="24"/>
          <w:szCs w:val="24"/>
          <w:u w:val="single"/>
        </w:rPr>
        <w:t xml:space="preserve"> mērķis Nr. 1. Būtiski palielināt darbības apjomu no 392 (2015.g.) miljoniem līdz 767 miljoniem (</w:t>
      </w:r>
      <w:r>
        <w:rPr>
          <w:rFonts w:ascii="Times New Roman" w:eastAsia="Times New Roman" w:hAnsi="Times New Roman"/>
          <w:sz w:val="24"/>
          <w:szCs w:val="24"/>
          <w:u w:val="single"/>
        </w:rPr>
        <w:t>01.01.2019</w:t>
      </w:r>
      <w:r w:rsidRPr="009D00C4">
        <w:rPr>
          <w:rFonts w:ascii="Times New Roman" w:eastAsia="Times New Roman" w:hAnsi="Times New Roman"/>
          <w:sz w:val="24"/>
          <w:szCs w:val="24"/>
          <w:u w:val="single"/>
        </w:rPr>
        <w:t>.g.)</w:t>
      </w:r>
      <w:r w:rsidRPr="009D00C4">
        <w:rPr>
          <w:rFonts w:ascii="Times New Roman" w:hAnsi="Times New Roman"/>
          <w:sz w:val="24"/>
          <w:szCs w:val="24"/>
          <w:u w:val="single"/>
        </w:rPr>
        <w:t xml:space="preserve">. </w:t>
      </w:r>
    </w:p>
    <w:p w14:paraId="0FD6336E" w14:textId="77777777" w:rsidR="003900FD" w:rsidRDefault="003900FD" w:rsidP="003900FD">
      <w:pPr>
        <w:pStyle w:val="ListParagraph"/>
        <w:spacing w:after="120"/>
        <w:ind w:left="357"/>
        <w:jc w:val="both"/>
        <w:rPr>
          <w:rFonts w:ascii="Times New Roman" w:eastAsia="Times New Roman" w:hAnsi="Times New Roman"/>
          <w:sz w:val="24"/>
          <w:szCs w:val="24"/>
        </w:rPr>
      </w:pPr>
      <w:r>
        <w:rPr>
          <w:rFonts w:ascii="Times New Roman" w:eastAsia="Times New Roman" w:hAnsi="Times New Roman"/>
          <w:sz w:val="24"/>
          <w:szCs w:val="24"/>
        </w:rPr>
        <w:t>D</w:t>
      </w:r>
      <w:r w:rsidRPr="004337E3">
        <w:rPr>
          <w:rFonts w:ascii="Times New Roman" w:eastAsia="Times New Roman" w:hAnsi="Times New Roman"/>
          <w:sz w:val="24"/>
          <w:szCs w:val="24"/>
        </w:rPr>
        <w:t>arbības apjoms pieauga</w:t>
      </w:r>
      <w:r>
        <w:rPr>
          <w:rFonts w:ascii="Times New Roman" w:eastAsia="Times New Roman" w:hAnsi="Times New Roman"/>
          <w:sz w:val="24"/>
          <w:szCs w:val="24"/>
        </w:rPr>
        <w:t xml:space="preserve"> </w:t>
      </w:r>
      <w:r w:rsidRPr="004337E3">
        <w:rPr>
          <w:rFonts w:ascii="Times New Roman" w:eastAsia="Times New Roman" w:hAnsi="Times New Roman"/>
          <w:sz w:val="24"/>
          <w:szCs w:val="24"/>
        </w:rPr>
        <w:t>par 16%, sasniedzot 436 milj. EUR, projektu skaits</w:t>
      </w:r>
      <w:r>
        <w:rPr>
          <w:rFonts w:ascii="Times New Roman" w:eastAsia="Times New Roman" w:hAnsi="Times New Roman"/>
          <w:sz w:val="24"/>
          <w:szCs w:val="24"/>
        </w:rPr>
        <w:t xml:space="preserve"> pieauga</w:t>
      </w:r>
      <w:r w:rsidRPr="004337E3">
        <w:rPr>
          <w:rFonts w:ascii="Times New Roman" w:eastAsia="Times New Roman" w:hAnsi="Times New Roman"/>
          <w:sz w:val="24"/>
          <w:szCs w:val="24"/>
        </w:rPr>
        <w:t xml:space="preserve"> par 33%, sas</w:t>
      </w:r>
      <w:r>
        <w:rPr>
          <w:rFonts w:ascii="Times New Roman" w:eastAsia="Times New Roman" w:hAnsi="Times New Roman"/>
          <w:sz w:val="24"/>
          <w:szCs w:val="24"/>
        </w:rPr>
        <w:t>niedzot 11,731 projektu. Sasniegti 99% no Budžetā plānotā apjoma</w:t>
      </w:r>
      <w:r w:rsidRPr="004337E3">
        <w:rPr>
          <w:rFonts w:ascii="Times New Roman" w:eastAsia="Times New Roman" w:hAnsi="Times New Roman"/>
          <w:sz w:val="24"/>
          <w:szCs w:val="24"/>
        </w:rPr>
        <w:t xml:space="preserve"> </w:t>
      </w:r>
      <w:r>
        <w:rPr>
          <w:rFonts w:ascii="Times New Roman" w:eastAsia="Times New Roman" w:hAnsi="Times New Roman"/>
          <w:sz w:val="24"/>
          <w:szCs w:val="24"/>
        </w:rPr>
        <w:t>(</w:t>
      </w:r>
      <w:r w:rsidRPr="004337E3">
        <w:rPr>
          <w:rFonts w:ascii="Times New Roman" w:eastAsia="Times New Roman" w:hAnsi="Times New Roman"/>
          <w:sz w:val="24"/>
          <w:szCs w:val="24"/>
        </w:rPr>
        <w:t>441 milj.</w:t>
      </w:r>
      <w:r>
        <w:rPr>
          <w:rFonts w:ascii="Times New Roman" w:eastAsia="Times New Roman" w:hAnsi="Times New Roman"/>
          <w:sz w:val="24"/>
          <w:szCs w:val="24"/>
        </w:rPr>
        <w:t xml:space="preserve"> EUR) un</w:t>
      </w:r>
      <w:r w:rsidRPr="004337E3">
        <w:rPr>
          <w:rFonts w:ascii="Times New Roman" w:eastAsia="Times New Roman" w:hAnsi="Times New Roman"/>
          <w:sz w:val="24"/>
          <w:szCs w:val="24"/>
        </w:rPr>
        <w:t xml:space="preserve"> </w:t>
      </w:r>
      <w:r>
        <w:rPr>
          <w:rFonts w:ascii="Times New Roman" w:eastAsia="Times New Roman" w:hAnsi="Times New Roman"/>
          <w:sz w:val="24"/>
          <w:szCs w:val="24"/>
        </w:rPr>
        <w:t>96% no Stratēģijā plānotā</w:t>
      </w:r>
      <w:r w:rsidRPr="004337E3">
        <w:rPr>
          <w:rFonts w:ascii="Times New Roman" w:eastAsia="Times New Roman" w:hAnsi="Times New Roman"/>
          <w:sz w:val="24"/>
          <w:szCs w:val="24"/>
        </w:rPr>
        <w:t xml:space="preserve"> </w:t>
      </w:r>
      <w:r>
        <w:rPr>
          <w:rFonts w:ascii="Times New Roman" w:eastAsia="Times New Roman" w:hAnsi="Times New Roman"/>
          <w:sz w:val="24"/>
          <w:szCs w:val="24"/>
        </w:rPr>
        <w:t>apjoma.</w:t>
      </w:r>
    </w:p>
    <w:p w14:paraId="277FCEF1" w14:textId="77777777" w:rsidR="003900FD" w:rsidRPr="004337E3" w:rsidRDefault="003900FD" w:rsidP="003900FD">
      <w:pPr>
        <w:pStyle w:val="ListParagraph"/>
        <w:spacing w:after="120"/>
        <w:ind w:left="357"/>
        <w:contextualSpacing w:val="0"/>
        <w:jc w:val="both"/>
        <w:rPr>
          <w:rFonts w:ascii="Times New Roman" w:eastAsia="Times New Roman" w:hAnsi="Times New Roman"/>
          <w:sz w:val="24"/>
          <w:szCs w:val="24"/>
        </w:rPr>
      </w:pPr>
      <w:r>
        <w:rPr>
          <w:rFonts w:ascii="Times New Roman" w:eastAsia="Times New Roman" w:hAnsi="Times New Roman"/>
          <w:sz w:val="24"/>
          <w:szCs w:val="24"/>
        </w:rPr>
        <w:t>Stratēģijā norādītais r</w:t>
      </w:r>
      <w:r w:rsidRPr="00337D9C">
        <w:rPr>
          <w:rFonts w:ascii="Times New Roman" w:eastAsia="Times New Roman" w:hAnsi="Times New Roman"/>
          <w:sz w:val="24"/>
          <w:szCs w:val="24"/>
        </w:rPr>
        <w:t xml:space="preserve">ādītājs </w:t>
      </w:r>
      <w:r w:rsidRPr="00D9750A">
        <w:rPr>
          <w:rFonts w:ascii="Times New Roman" w:eastAsia="Times New Roman" w:hAnsi="Times New Roman"/>
          <w:sz w:val="24"/>
          <w:szCs w:val="24"/>
        </w:rPr>
        <w:t>pārskata gadā nav piemērojams Sabiedrības darbības novērtēšanā</w:t>
      </w:r>
      <w:r w:rsidRPr="00337D9C">
        <w:rPr>
          <w:rFonts w:ascii="Times New Roman" w:eastAsia="Times New Roman" w:hAnsi="Times New Roman"/>
          <w:sz w:val="24"/>
          <w:szCs w:val="24"/>
        </w:rPr>
        <w:t xml:space="preserve">, jo neapstiprinājās </w:t>
      </w:r>
      <w:r w:rsidRPr="00B304A8">
        <w:rPr>
          <w:rFonts w:ascii="Times New Roman" w:eastAsia="Times New Roman" w:hAnsi="Times New Roman"/>
          <w:sz w:val="24"/>
          <w:szCs w:val="24"/>
        </w:rPr>
        <w:t>Stratēģijā izvirzītie pieņēmumi</w:t>
      </w:r>
      <w:r>
        <w:rPr>
          <w:rFonts w:ascii="Times New Roman" w:eastAsia="Times New Roman" w:hAnsi="Times New Roman"/>
          <w:sz w:val="24"/>
          <w:szCs w:val="24"/>
        </w:rPr>
        <w:t xml:space="preserve"> </w:t>
      </w:r>
      <w:r w:rsidRPr="002C7BA5">
        <w:rPr>
          <w:rFonts w:ascii="Times New Roman" w:eastAsia="Times New Roman" w:hAnsi="Times New Roman"/>
          <w:sz w:val="24"/>
          <w:szCs w:val="24"/>
        </w:rPr>
        <w:t xml:space="preserve">par programmu apstiprināšanas termiņiem. </w:t>
      </w:r>
      <w:r>
        <w:rPr>
          <w:rFonts w:ascii="Times New Roman" w:eastAsia="Times New Roman" w:hAnsi="Times New Roman"/>
          <w:sz w:val="24"/>
          <w:szCs w:val="24"/>
        </w:rPr>
        <w:t>2016.gadā a</w:t>
      </w:r>
      <w:r w:rsidRPr="002C7BA5">
        <w:rPr>
          <w:rFonts w:ascii="Times New Roman" w:eastAsia="Times New Roman" w:hAnsi="Times New Roman"/>
          <w:sz w:val="24"/>
          <w:szCs w:val="24"/>
        </w:rPr>
        <w:t>tsevišķas programmas vēl nebija apstiprinātas Ministru kabinetā (Vidēja un ilgtermiņa eksporta garantiju programma (</w:t>
      </w:r>
      <w:r>
        <w:rPr>
          <w:rFonts w:ascii="Times New Roman" w:eastAsia="Times New Roman" w:hAnsi="Times New Roman"/>
          <w:sz w:val="24"/>
          <w:szCs w:val="24"/>
        </w:rPr>
        <w:t xml:space="preserve">programmu </w:t>
      </w:r>
      <w:r w:rsidRPr="002C7BA5">
        <w:rPr>
          <w:rFonts w:ascii="Times New Roman" w:eastAsia="Times New Roman" w:hAnsi="Times New Roman"/>
          <w:sz w:val="24"/>
          <w:szCs w:val="24"/>
        </w:rPr>
        <w:t>plānots apstiprināt 2017.gadā)) vai tika apstiprinātas vēlāk par iepriekš plānoto (Daudzdzīvokļu māju siltināšanas programma, Sociālās uzņēmējdarbība programma, Fondu fonda programmas), līdz ar to, finanšu instrumenti šajās programmās pārskata gadā vēl netika īstenoti v</w:t>
      </w:r>
      <w:r w:rsidRPr="004337E3">
        <w:rPr>
          <w:rFonts w:ascii="Times New Roman" w:eastAsia="Times New Roman" w:hAnsi="Times New Roman"/>
          <w:sz w:val="24"/>
          <w:szCs w:val="24"/>
        </w:rPr>
        <w:t>ai to</w:t>
      </w:r>
      <w:r>
        <w:rPr>
          <w:rFonts w:ascii="Times New Roman" w:eastAsia="Times New Roman" w:hAnsi="Times New Roman"/>
          <w:sz w:val="24"/>
          <w:szCs w:val="24"/>
        </w:rPr>
        <w:t xml:space="preserve"> īstenošana</w:t>
      </w:r>
      <w:r w:rsidRPr="004337E3">
        <w:rPr>
          <w:rFonts w:ascii="Times New Roman" w:eastAsia="Times New Roman" w:hAnsi="Times New Roman"/>
          <w:sz w:val="24"/>
          <w:szCs w:val="24"/>
        </w:rPr>
        <w:t xml:space="preserve"> tika </w:t>
      </w:r>
      <w:r>
        <w:rPr>
          <w:rFonts w:ascii="Times New Roman" w:eastAsia="Times New Roman" w:hAnsi="Times New Roman"/>
          <w:sz w:val="24"/>
          <w:szCs w:val="24"/>
        </w:rPr>
        <w:t>uzsākta vēlāk un tie nevarēja atstāt plānoto ietekmi uz darbības apjomiem</w:t>
      </w:r>
      <w:r w:rsidRPr="004337E3">
        <w:rPr>
          <w:rFonts w:ascii="Times New Roman" w:eastAsia="Times New Roman" w:hAnsi="Times New Roman"/>
          <w:sz w:val="24"/>
          <w:szCs w:val="24"/>
        </w:rPr>
        <w:t>.</w:t>
      </w:r>
      <w:r>
        <w:rPr>
          <w:rFonts w:ascii="Times New Roman" w:eastAsia="Times New Roman" w:hAnsi="Times New Roman"/>
          <w:sz w:val="24"/>
          <w:szCs w:val="24"/>
        </w:rPr>
        <w:t xml:space="preserve"> </w:t>
      </w:r>
    </w:p>
    <w:p w14:paraId="6D32AE11" w14:textId="77777777" w:rsidR="003900FD" w:rsidRPr="009D00C4" w:rsidRDefault="003900FD" w:rsidP="003900FD">
      <w:pPr>
        <w:pStyle w:val="ListParagraph"/>
        <w:numPr>
          <w:ilvl w:val="0"/>
          <w:numId w:val="1"/>
        </w:numPr>
        <w:spacing w:after="120"/>
        <w:ind w:left="357" w:hanging="357"/>
        <w:jc w:val="both"/>
        <w:rPr>
          <w:rFonts w:ascii="Times New Roman" w:hAnsi="Times New Roman"/>
          <w:sz w:val="24"/>
          <w:szCs w:val="24"/>
          <w:u w:val="single"/>
        </w:rPr>
      </w:pPr>
      <w:proofErr w:type="spellStart"/>
      <w:r w:rsidRPr="009D00C4">
        <w:rPr>
          <w:rFonts w:ascii="Times New Roman" w:eastAsia="Times New Roman" w:hAnsi="Times New Roman"/>
          <w:sz w:val="24"/>
          <w:szCs w:val="24"/>
          <w:u w:val="single"/>
        </w:rPr>
        <w:t>Nefinanšu</w:t>
      </w:r>
      <w:proofErr w:type="spellEnd"/>
      <w:r w:rsidRPr="009D00C4">
        <w:rPr>
          <w:rFonts w:ascii="Times New Roman" w:eastAsia="Times New Roman" w:hAnsi="Times New Roman"/>
          <w:sz w:val="24"/>
          <w:szCs w:val="24"/>
          <w:u w:val="single"/>
        </w:rPr>
        <w:t xml:space="preserve"> mērķis Nr. 2. Veicināt finanšu resursu 1`043`042 tūkstoši apmērā ieguldīšanu tautsaimniecības attīstībā īstenoto valsts atbalsta programmu ietvaros</w:t>
      </w:r>
      <w:r w:rsidRPr="009D00C4">
        <w:rPr>
          <w:rFonts w:ascii="Times New Roman" w:hAnsi="Times New Roman"/>
          <w:sz w:val="24"/>
          <w:szCs w:val="24"/>
          <w:u w:val="single"/>
        </w:rPr>
        <w:t xml:space="preserve">. </w:t>
      </w:r>
    </w:p>
    <w:p w14:paraId="4C4CBD0F" w14:textId="77777777" w:rsidR="003900FD" w:rsidRPr="001209F7" w:rsidRDefault="003900FD" w:rsidP="003900FD">
      <w:pPr>
        <w:pStyle w:val="ListParagraph"/>
        <w:spacing w:after="120"/>
        <w:ind w:left="357"/>
        <w:contextualSpacing w:val="0"/>
        <w:jc w:val="both"/>
        <w:rPr>
          <w:rFonts w:ascii="Times New Roman" w:hAnsi="Times New Roman"/>
          <w:sz w:val="24"/>
          <w:szCs w:val="24"/>
        </w:rPr>
      </w:pPr>
      <w:r w:rsidRPr="00604378">
        <w:rPr>
          <w:rFonts w:ascii="Times New Roman" w:hAnsi="Times New Roman"/>
          <w:sz w:val="24"/>
          <w:szCs w:val="24"/>
        </w:rPr>
        <w:t>No 2016.gada 1.janvāra līdz 31.decembrim, valsts atbalsta programmu ietvaros piešķirts finansējums 131,5 milj. eiro apjomā (pieaugums par 11,4% salīdzinot ar 2015.gadu), kopējais atbalstīto projektu skaits 4 461 (pieaugums par 58,2% salīdzinot ar 2015.gadu). Projektu skaita pieaugu</w:t>
      </w:r>
      <w:r>
        <w:rPr>
          <w:rFonts w:ascii="Times New Roman" w:hAnsi="Times New Roman"/>
          <w:sz w:val="24"/>
          <w:szCs w:val="24"/>
        </w:rPr>
        <w:t>mu 2016.gadā būtiski ietekmēja M</w:t>
      </w:r>
      <w:r w:rsidRPr="00604378">
        <w:rPr>
          <w:rFonts w:ascii="Times New Roman" w:hAnsi="Times New Roman"/>
          <w:sz w:val="24"/>
          <w:szCs w:val="24"/>
        </w:rPr>
        <w:t>ājokļu galvojumu programmas ģimenēm ar bērniem lielais pieprasījums. Neiet</w:t>
      </w:r>
      <w:r>
        <w:rPr>
          <w:rFonts w:ascii="Times New Roman" w:hAnsi="Times New Roman"/>
          <w:sz w:val="24"/>
          <w:szCs w:val="24"/>
        </w:rPr>
        <w:t>verot atbalstu privātpersonām (M</w:t>
      </w:r>
      <w:r w:rsidRPr="00604378">
        <w:rPr>
          <w:rFonts w:ascii="Times New Roman" w:hAnsi="Times New Roman"/>
          <w:sz w:val="24"/>
          <w:szCs w:val="24"/>
        </w:rPr>
        <w:t xml:space="preserve">ājokļu galvojumu programma), uzņēmējdarbībai sniegtā atbalsta apjoms 2016.gadā ir 111,6 miljoni eiro, kopumā atbalstīti 1,643 uzņēmējdarbības projekti. Ņemot vērā citu kreditoru finansējumu un projektu īstenotāju pašu līdzfinansējumu 2016.gadā </w:t>
      </w:r>
      <w:proofErr w:type="spellStart"/>
      <w:r w:rsidRPr="00604378">
        <w:rPr>
          <w:rFonts w:ascii="Times New Roman" w:hAnsi="Times New Roman"/>
          <w:sz w:val="24"/>
          <w:szCs w:val="24"/>
        </w:rPr>
        <w:t>Altum</w:t>
      </w:r>
      <w:proofErr w:type="spellEnd"/>
      <w:r w:rsidRPr="00604378">
        <w:rPr>
          <w:rFonts w:ascii="Times New Roman" w:hAnsi="Times New Roman"/>
          <w:sz w:val="24"/>
          <w:szCs w:val="24"/>
        </w:rPr>
        <w:t xml:space="preserve"> </w:t>
      </w:r>
      <w:r w:rsidRPr="00AF6060">
        <w:rPr>
          <w:rFonts w:ascii="Times New Roman" w:hAnsi="Times New Roman"/>
          <w:sz w:val="24"/>
          <w:szCs w:val="24"/>
        </w:rPr>
        <w:t>veicinājis 360 milj.</w:t>
      </w:r>
      <w:r w:rsidRPr="00604378">
        <w:rPr>
          <w:rFonts w:ascii="Times New Roman" w:hAnsi="Times New Roman"/>
          <w:sz w:val="24"/>
          <w:szCs w:val="24"/>
        </w:rPr>
        <w:t xml:space="preserve"> EUR ieguldīšanu tautsaimniecībā. </w:t>
      </w:r>
    </w:p>
    <w:p w14:paraId="36FDBE18" w14:textId="77777777" w:rsidR="003900FD" w:rsidRPr="009D00C4" w:rsidRDefault="003900FD" w:rsidP="003900FD">
      <w:pPr>
        <w:pStyle w:val="ListParagraph"/>
        <w:numPr>
          <w:ilvl w:val="0"/>
          <w:numId w:val="1"/>
        </w:numPr>
        <w:spacing w:after="120"/>
        <w:ind w:left="357" w:hanging="357"/>
        <w:jc w:val="both"/>
        <w:rPr>
          <w:rFonts w:ascii="Times New Roman" w:hAnsi="Times New Roman"/>
          <w:sz w:val="24"/>
          <w:szCs w:val="24"/>
          <w:u w:val="single"/>
        </w:rPr>
      </w:pPr>
      <w:proofErr w:type="spellStart"/>
      <w:r w:rsidRPr="009D00C4">
        <w:rPr>
          <w:rFonts w:ascii="Times New Roman" w:eastAsia="Times New Roman" w:hAnsi="Times New Roman"/>
          <w:sz w:val="24"/>
          <w:szCs w:val="24"/>
          <w:u w:val="single"/>
        </w:rPr>
        <w:t>Nefinanšu</w:t>
      </w:r>
      <w:proofErr w:type="spellEnd"/>
      <w:r w:rsidRPr="009D00C4">
        <w:rPr>
          <w:rFonts w:ascii="Times New Roman" w:eastAsia="Times New Roman" w:hAnsi="Times New Roman"/>
          <w:sz w:val="24"/>
          <w:szCs w:val="24"/>
          <w:u w:val="single"/>
        </w:rPr>
        <w:t xml:space="preserve"> mērķis Nr. 3. Palielināt efektivitāti.</w:t>
      </w:r>
      <w:r w:rsidRPr="009D00C4">
        <w:rPr>
          <w:rFonts w:ascii="Times New Roman" w:hAnsi="Times New Roman"/>
          <w:sz w:val="24"/>
          <w:szCs w:val="24"/>
          <w:u w:val="single"/>
        </w:rPr>
        <w:t xml:space="preserve"> </w:t>
      </w:r>
    </w:p>
    <w:p w14:paraId="3F7269CC" w14:textId="77777777" w:rsidR="003900FD" w:rsidRPr="0046126B" w:rsidRDefault="003900FD" w:rsidP="003900FD">
      <w:pPr>
        <w:pStyle w:val="ListParagraph"/>
        <w:spacing w:after="120"/>
        <w:ind w:left="357"/>
        <w:jc w:val="both"/>
        <w:rPr>
          <w:rFonts w:ascii="Times New Roman" w:hAnsi="Times New Roman"/>
          <w:sz w:val="24"/>
          <w:szCs w:val="24"/>
        </w:rPr>
      </w:pPr>
      <w:r w:rsidRPr="0046126B">
        <w:rPr>
          <w:rFonts w:ascii="Times New Roman" w:hAnsi="Times New Roman"/>
          <w:sz w:val="24"/>
          <w:szCs w:val="24"/>
        </w:rPr>
        <w:t xml:space="preserve">2016.gadā ievērojami palielināta darbības efektivitāte: </w:t>
      </w:r>
    </w:p>
    <w:p w14:paraId="2351911A" w14:textId="77777777" w:rsidR="003900FD" w:rsidRDefault="003900FD" w:rsidP="003900FD">
      <w:pPr>
        <w:pStyle w:val="ListParagraph"/>
        <w:spacing w:after="120"/>
        <w:ind w:left="357"/>
        <w:jc w:val="both"/>
        <w:rPr>
          <w:rFonts w:ascii="Times New Roman" w:hAnsi="Times New Roman"/>
          <w:sz w:val="24"/>
          <w:szCs w:val="24"/>
        </w:rPr>
      </w:pPr>
      <w:r w:rsidRPr="0046126B">
        <w:rPr>
          <w:rFonts w:ascii="Times New Roman" w:hAnsi="Times New Roman"/>
          <w:sz w:val="24"/>
          <w:szCs w:val="24"/>
        </w:rPr>
        <w:t>- Dar</w:t>
      </w:r>
      <w:r>
        <w:rPr>
          <w:rFonts w:ascii="Times New Roman" w:hAnsi="Times New Roman"/>
          <w:sz w:val="24"/>
          <w:szCs w:val="24"/>
        </w:rPr>
        <w:t>binieku skaits samazināts no 236</w:t>
      </w:r>
      <w:r w:rsidRPr="0046126B">
        <w:rPr>
          <w:rFonts w:ascii="Times New Roman" w:hAnsi="Times New Roman"/>
          <w:sz w:val="24"/>
          <w:szCs w:val="24"/>
        </w:rPr>
        <w:t xml:space="preserve"> uz 209 darbiniekiem.</w:t>
      </w:r>
      <w:r w:rsidRPr="00B41CCE">
        <w:rPr>
          <w:rFonts w:ascii="Times New Roman" w:hAnsi="Times New Roman"/>
          <w:sz w:val="24"/>
          <w:szCs w:val="24"/>
        </w:rPr>
        <w:t xml:space="preserve"> </w:t>
      </w:r>
    </w:p>
    <w:p w14:paraId="0B384BB2" w14:textId="77777777" w:rsidR="003900FD" w:rsidRDefault="003900FD" w:rsidP="003900FD">
      <w:pPr>
        <w:pStyle w:val="ListParagraph"/>
        <w:spacing w:after="120"/>
        <w:ind w:left="357"/>
        <w:jc w:val="both"/>
        <w:rPr>
          <w:rFonts w:ascii="Times New Roman" w:hAnsi="Times New Roman"/>
          <w:sz w:val="24"/>
          <w:szCs w:val="24"/>
        </w:rPr>
      </w:pPr>
      <w:r w:rsidRPr="00B41CCE">
        <w:rPr>
          <w:rFonts w:ascii="Times New Roman" w:hAnsi="Times New Roman"/>
          <w:sz w:val="24"/>
          <w:szCs w:val="24"/>
        </w:rPr>
        <w:t>- Neskatoties uz būtisku darbinieku skaita samazināšanu, darbības apjoms palielināts par 16%.</w:t>
      </w:r>
      <w:r>
        <w:rPr>
          <w:rFonts w:ascii="Times New Roman" w:hAnsi="Times New Roman"/>
          <w:sz w:val="24"/>
          <w:szCs w:val="24"/>
        </w:rPr>
        <w:t xml:space="preserve"> </w:t>
      </w:r>
    </w:p>
    <w:p w14:paraId="09BC9674" w14:textId="77777777" w:rsidR="003900FD" w:rsidRDefault="003900FD" w:rsidP="003900FD">
      <w:pPr>
        <w:pStyle w:val="ListParagraph"/>
        <w:spacing w:after="120"/>
        <w:ind w:left="357"/>
        <w:jc w:val="both"/>
        <w:rPr>
          <w:rFonts w:ascii="Times New Roman" w:hAnsi="Times New Roman"/>
          <w:sz w:val="24"/>
          <w:szCs w:val="24"/>
        </w:rPr>
      </w:pPr>
      <w:r w:rsidRPr="00B41CCE">
        <w:rPr>
          <w:rFonts w:ascii="Times New Roman" w:hAnsi="Times New Roman"/>
          <w:sz w:val="24"/>
          <w:szCs w:val="24"/>
        </w:rPr>
        <w:t>- Paātrināts garantiju piešķiršanas process (no 10 uz 5 darba dienām); ieviesta elektroniska dokumentācijas apmaiņa ar sadarbības</w:t>
      </w:r>
      <w:r>
        <w:rPr>
          <w:rFonts w:ascii="Times New Roman" w:hAnsi="Times New Roman"/>
          <w:sz w:val="24"/>
          <w:szCs w:val="24"/>
        </w:rPr>
        <w:t xml:space="preserve"> bankām. </w:t>
      </w:r>
    </w:p>
    <w:p w14:paraId="22E488C1" w14:textId="77777777" w:rsidR="003900FD" w:rsidRPr="0019743F" w:rsidRDefault="003900FD" w:rsidP="003900FD">
      <w:pPr>
        <w:pStyle w:val="ListParagraph"/>
        <w:spacing w:after="120"/>
        <w:ind w:left="357"/>
        <w:jc w:val="both"/>
        <w:rPr>
          <w:rFonts w:ascii="Times New Roman" w:hAnsi="Times New Roman"/>
          <w:sz w:val="24"/>
          <w:szCs w:val="24"/>
        </w:rPr>
      </w:pPr>
      <w:r>
        <w:rPr>
          <w:rFonts w:ascii="Times New Roman" w:hAnsi="Times New Roman"/>
          <w:sz w:val="24"/>
          <w:szCs w:val="24"/>
        </w:rPr>
        <w:t xml:space="preserve">- </w:t>
      </w:r>
      <w:r w:rsidRPr="0019743F">
        <w:rPr>
          <w:rFonts w:ascii="Times New Roman" w:hAnsi="Times New Roman"/>
          <w:sz w:val="24"/>
          <w:szCs w:val="24"/>
        </w:rPr>
        <w:t xml:space="preserve">Noslēgts līgums par jaunas, efektīvākas IS sistēmas piegādi līdz 31.03.2018. </w:t>
      </w:r>
    </w:p>
    <w:p w14:paraId="345F18D3" w14:textId="77777777" w:rsidR="003900FD" w:rsidRDefault="003900FD" w:rsidP="003900FD">
      <w:pPr>
        <w:pStyle w:val="ListParagraph"/>
        <w:spacing w:after="120"/>
        <w:ind w:left="357"/>
        <w:jc w:val="both"/>
        <w:rPr>
          <w:rFonts w:ascii="Times New Roman" w:hAnsi="Times New Roman"/>
          <w:sz w:val="24"/>
          <w:szCs w:val="24"/>
        </w:rPr>
      </w:pPr>
      <w:r w:rsidRPr="00B41CCE">
        <w:rPr>
          <w:rFonts w:ascii="Times New Roman" w:hAnsi="Times New Roman"/>
          <w:sz w:val="24"/>
          <w:szCs w:val="24"/>
        </w:rPr>
        <w:t>- Noslēgts jauns, uzņēmuma iespējām atbilstošs darba koplīgums, kas aizstāj iepriekšējos koplīgum</w:t>
      </w:r>
      <w:r>
        <w:rPr>
          <w:rFonts w:ascii="Times New Roman" w:hAnsi="Times New Roman"/>
          <w:sz w:val="24"/>
          <w:szCs w:val="24"/>
        </w:rPr>
        <w:t>us (LHZB, LGA) un iepriekšējo so</w:t>
      </w:r>
      <w:r w:rsidRPr="00B41CCE">
        <w:rPr>
          <w:rFonts w:ascii="Times New Roman" w:hAnsi="Times New Roman"/>
          <w:sz w:val="24"/>
          <w:szCs w:val="24"/>
        </w:rPr>
        <w:t>ciālo garantiju praksi (LAF).</w:t>
      </w:r>
      <w:r>
        <w:rPr>
          <w:rFonts w:ascii="Times New Roman" w:hAnsi="Times New Roman"/>
          <w:sz w:val="24"/>
          <w:szCs w:val="24"/>
        </w:rPr>
        <w:t xml:space="preserve"> </w:t>
      </w:r>
      <w:r w:rsidRPr="007220EA">
        <w:rPr>
          <w:rFonts w:ascii="Times New Roman" w:hAnsi="Times New Roman"/>
          <w:sz w:val="24"/>
          <w:szCs w:val="24"/>
        </w:rPr>
        <w:t>Jauno koplīgumu slēgtā balsojumā atbalstījuši 91% darbinieku.</w:t>
      </w:r>
      <w:r>
        <w:rPr>
          <w:rFonts w:ascii="Times New Roman" w:hAnsi="Times New Roman"/>
          <w:sz w:val="24"/>
          <w:szCs w:val="24"/>
        </w:rPr>
        <w:t xml:space="preserve"> </w:t>
      </w:r>
    </w:p>
    <w:p w14:paraId="3F481FC8" w14:textId="77777777" w:rsidR="003900FD" w:rsidRDefault="003900FD" w:rsidP="003900FD">
      <w:pPr>
        <w:pStyle w:val="ListParagraph"/>
        <w:spacing w:after="120"/>
        <w:ind w:left="357"/>
        <w:jc w:val="both"/>
        <w:rPr>
          <w:rFonts w:ascii="Times New Roman" w:hAnsi="Times New Roman"/>
          <w:sz w:val="24"/>
          <w:szCs w:val="24"/>
        </w:rPr>
      </w:pPr>
      <w:r w:rsidRPr="00B41CCE">
        <w:rPr>
          <w:rFonts w:ascii="Times New Roman" w:hAnsi="Times New Roman"/>
          <w:sz w:val="24"/>
          <w:szCs w:val="24"/>
        </w:rPr>
        <w:t xml:space="preserve">- </w:t>
      </w:r>
      <w:proofErr w:type="spellStart"/>
      <w:r w:rsidRPr="00B41CCE">
        <w:rPr>
          <w:rFonts w:ascii="Times New Roman" w:hAnsi="Times New Roman"/>
          <w:sz w:val="24"/>
          <w:szCs w:val="24"/>
        </w:rPr>
        <w:t>Neprofila</w:t>
      </w:r>
      <w:proofErr w:type="spellEnd"/>
      <w:r w:rsidRPr="00B41CCE">
        <w:rPr>
          <w:rFonts w:ascii="Times New Roman" w:hAnsi="Times New Roman"/>
          <w:sz w:val="24"/>
          <w:szCs w:val="24"/>
        </w:rPr>
        <w:t xml:space="preserve"> aktivitāšu pārtraukšanas ietvaros privatizācijas procesu apkalpošana </w:t>
      </w:r>
      <w:r w:rsidRPr="001C1BA0">
        <w:rPr>
          <w:rFonts w:ascii="Times New Roman" w:hAnsi="Times New Roman"/>
          <w:sz w:val="24"/>
          <w:szCs w:val="24"/>
        </w:rPr>
        <w:t xml:space="preserve">1.oktobrī </w:t>
      </w:r>
      <w:r w:rsidRPr="00B41CCE">
        <w:rPr>
          <w:rFonts w:ascii="Times New Roman" w:hAnsi="Times New Roman"/>
          <w:sz w:val="24"/>
          <w:szCs w:val="24"/>
        </w:rPr>
        <w:t xml:space="preserve">nodota Privatizācijas aģentūrai. </w:t>
      </w:r>
    </w:p>
    <w:p w14:paraId="4CF82049" w14:textId="77777777" w:rsidR="003900FD" w:rsidRDefault="003900FD" w:rsidP="003900FD">
      <w:pPr>
        <w:pStyle w:val="ListParagraph"/>
        <w:spacing w:after="120"/>
        <w:ind w:left="357"/>
        <w:jc w:val="both"/>
        <w:rPr>
          <w:rFonts w:ascii="Times New Roman" w:hAnsi="Times New Roman"/>
          <w:sz w:val="24"/>
          <w:szCs w:val="24"/>
        </w:rPr>
      </w:pPr>
      <w:r w:rsidRPr="00B41CCE">
        <w:rPr>
          <w:rFonts w:ascii="Times New Roman" w:hAnsi="Times New Roman"/>
          <w:sz w:val="24"/>
          <w:szCs w:val="24"/>
        </w:rPr>
        <w:t>- Sabiedrības administ</w:t>
      </w:r>
      <w:r>
        <w:rPr>
          <w:rFonts w:ascii="Times New Roman" w:hAnsi="Times New Roman"/>
          <w:sz w:val="24"/>
          <w:szCs w:val="24"/>
        </w:rPr>
        <w:t>r</w:t>
      </w:r>
      <w:r w:rsidRPr="00B41CCE">
        <w:rPr>
          <w:rFonts w:ascii="Times New Roman" w:hAnsi="Times New Roman"/>
          <w:sz w:val="24"/>
          <w:szCs w:val="24"/>
        </w:rPr>
        <w:t xml:space="preserve">atīvie izdevumi 2016.gadā bija mazāki par budžetā plānotajiem. </w:t>
      </w:r>
    </w:p>
    <w:p w14:paraId="65FB682F" w14:textId="77777777" w:rsidR="003900FD" w:rsidRPr="007220EA" w:rsidRDefault="003900FD" w:rsidP="003900FD">
      <w:pPr>
        <w:pStyle w:val="ListParagraph"/>
        <w:spacing w:after="120"/>
        <w:ind w:left="357"/>
        <w:contextualSpacing w:val="0"/>
        <w:jc w:val="both"/>
        <w:rPr>
          <w:rFonts w:ascii="Times New Roman" w:hAnsi="Times New Roman"/>
          <w:sz w:val="24"/>
          <w:szCs w:val="24"/>
        </w:rPr>
      </w:pPr>
      <w:r w:rsidRPr="00B41CCE">
        <w:rPr>
          <w:rFonts w:ascii="Times New Roman" w:hAnsi="Times New Roman"/>
          <w:sz w:val="24"/>
          <w:szCs w:val="24"/>
        </w:rPr>
        <w:t>Efektivi</w:t>
      </w:r>
      <w:r>
        <w:rPr>
          <w:rFonts w:ascii="Times New Roman" w:hAnsi="Times New Roman"/>
          <w:sz w:val="24"/>
          <w:szCs w:val="24"/>
        </w:rPr>
        <w:t xml:space="preserve">tātes </w:t>
      </w:r>
      <w:proofErr w:type="spellStart"/>
      <w:r>
        <w:rPr>
          <w:rFonts w:ascii="Times New Roman" w:hAnsi="Times New Roman"/>
          <w:sz w:val="24"/>
          <w:szCs w:val="24"/>
        </w:rPr>
        <w:t>nefinanšu</w:t>
      </w:r>
      <w:proofErr w:type="spellEnd"/>
      <w:r>
        <w:rPr>
          <w:rFonts w:ascii="Times New Roman" w:hAnsi="Times New Roman"/>
          <w:sz w:val="24"/>
          <w:szCs w:val="24"/>
        </w:rPr>
        <w:t xml:space="preserve"> mērķa rādītāji </w:t>
      </w:r>
      <w:r w:rsidRPr="00B41CCE">
        <w:rPr>
          <w:rFonts w:ascii="Times New Roman" w:hAnsi="Times New Roman"/>
          <w:sz w:val="24"/>
          <w:szCs w:val="24"/>
        </w:rPr>
        <w:t>pārskata gadā nav piemērojami, jo īstenojamo programmu finanšu inst</w:t>
      </w:r>
      <w:r>
        <w:rPr>
          <w:rFonts w:ascii="Times New Roman" w:hAnsi="Times New Roman"/>
          <w:sz w:val="24"/>
          <w:szCs w:val="24"/>
        </w:rPr>
        <w:t>rumentu apjomu būtiski</w:t>
      </w:r>
      <w:r w:rsidRPr="00B41CCE">
        <w:rPr>
          <w:rFonts w:ascii="Times New Roman" w:hAnsi="Times New Roman"/>
          <w:sz w:val="24"/>
          <w:szCs w:val="24"/>
        </w:rPr>
        <w:t xml:space="preserve"> ietekmēja atsevišķu programmu vēlāka par Stratēģijā plānoto apstiprināšana Ministru kabinetā.</w:t>
      </w:r>
      <w:r>
        <w:rPr>
          <w:rFonts w:ascii="Times New Roman" w:hAnsi="Times New Roman"/>
          <w:sz w:val="24"/>
          <w:szCs w:val="24"/>
        </w:rPr>
        <w:t xml:space="preserve"> </w:t>
      </w:r>
    </w:p>
    <w:p w14:paraId="78D8C0D7" w14:textId="77777777" w:rsidR="003900FD" w:rsidRPr="009D00C4" w:rsidRDefault="003900FD" w:rsidP="003900FD">
      <w:pPr>
        <w:pStyle w:val="ListParagraph"/>
        <w:numPr>
          <w:ilvl w:val="0"/>
          <w:numId w:val="1"/>
        </w:numPr>
        <w:spacing w:after="120"/>
        <w:ind w:left="357" w:hanging="357"/>
        <w:jc w:val="both"/>
        <w:rPr>
          <w:rFonts w:ascii="Times New Roman" w:hAnsi="Times New Roman"/>
          <w:sz w:val="24"/>
          <w:szCs w:val="24"/>
          <w:u w:val="single"/>
        </w:rPr>
      </w:pPr>
      <w:proofErr w:type="spellStart"/>
      <w:r w:rsidRPr="009D00C4">
        <w:rPr>
          <w:rFonts w:ascii="Times New Roman" w:eastAsia="Times New Roman" w:hAnsi="Times New Roman"/>
          <w:sz w:val="24"/>
          <w:szCs w:val="24"/>
          <w:u w:val="single"/>
        </w:rPr>
        <w:t>Nefinanšu</w:t>
      </w:r>
      <w:proofErr w:type="spellEnd"/>
      <w:r w:rsidRPr="009D00C4">
        <w:rPr>
          <w:rFonts w:ascii="Times New Roman" w:eastAsia="Times New Roman" w:hAnsi="Times New Roman"/>
          <w:sz w:val="24"/>
          <w:szCs w:val="24"/>
          <w:u w:val="single"/>
        </w:rPr>
        <w:t xml:space="preserve"> mērķis Nr. 4. Nodrošināt izcilu apkalpošanu klientiem.</w:t>
      </w:r>
      <w:r w:rsidRPr="009D00C4">
        <w:rPr>
          <w:rFonts w:ascii="Times New Roman" w:hAnsi="Times New Roman"/>
          <w:sz w:val="24"/>
          <w:szCs w:val="24"/>
          <w:u w:val="single"/>
        </w:rPr>
        <w:t xml:space="preserve"> </w:t>
      </w:r>
    </w:p>
    <w:p w14:paraId="2E6AFC48" w14:textId="77777777" w:rsidR="003900FD" w:rsidRPr="00604378" w:rsidRDefault="003900FD" w:rsidP="003900FD">
      <w:pPr>
        <w:pStyle w:val="ListParagraph"/>
        <w:spacing w:after="120"/>
        <w:ind w:left="357"/>
        <w:jc w:val="both"/>
        <w:rPr>
          <w:rFonts w:ascii="Times New Roman" w:hAnsi="Times New Roman"/>
          <w:sz w:val="24"/>
          <w:szCs w:val="24"/>
        </w:rPr>
      </w:pPr>
      <w:proofErr w:type="spellStart"/>
      <w:r w:rsidRPr="00604378">
        <w:rPr>
          <w:rFonts w:ascii="Times New Roman" w:hAnsi="Times New Roman"/>
          <w:sz w:val="24"/>
          <w:szCs w:val="24"/>
        </w:rPr>
        <w:t>Altum</w:t>
      </w:r>
      <w:proofErr w:type="spellEnd"/>
      <w:r w:rsidRPr="00604378">
        <w:rPr>
          <w:rFonts w:ascii="Times New Roman" w:hAnsi="Times New Roman"/>
          <w:sz w:val="24"/>
          <w:szCs w:val="24"/>
        </w:rPr>
        <w:t xml:space="preserve"> strādājis atbilstoši augstiem klientu apkalpošanas standartiem. </w:t>
      </w:r>
    </w:p>
    <w:p w14:paraId="595D1984" w14:textId="77777777" w:rsidR="003900FD" w:rsidRPr="00604378" w:rsidRDefault="003900FD" w:rsidP="003900FD">
      <w:pPr>
        <w:pStyle w:val="ListParagraph"/>
        <w:spacing w:after="120"/>
        <w:ind w:left="357"/>
        <w:jc w:val="both"/>
        <w:rPr>
          <w:rFonts w:ascii="Times New Roman" w:hAnsi="Times New Roman"/>
          <w:sz w:val="24"/>
          <w:szCs w:val="24"/>
        </w:rPr>
      </w:pPr>
      <w:r w:rsidRPr="00604378">
        <w:rPr>
          <w:rFonts w:ascii="Times New Roman" w:hAnsi="Times New Roman"/>
          <w:sz w:val="24"/>
          <w:szCs w:val="24"/>
        </w:rPr>
        <w:t xml:space="preserve">- </w:t>
      </w:r>
      <w:r>
        <w:rPr>
          <w:rFonts w:ascii="Times New Roman" w:hAnsi="Times New Roman"/>
          <w:sz w:val="24"/>
          <w:szCs w:val="24"/>
        </w:rPr>
        <w:t xml:space="preserve">Aprīlī </w:t>
      </w:r>
      <w:proofErr w:type="spellStart"/>
      <w:r>
        <w:rPr>
          <w:rFonts w:ascii="Times New Roman" w:hAnsi="Times New Roman"/>
          <w:sz w:val="24"/>
          <w:szCs w:val="24"/>
        </w:rPr>
        <w:t>Altum</w:t>
      </w:r>
      <w:proofErr w:type="spellEnd"/>
      <w:r>
        <w:rPr>
          <w:rFonts w:ascii="Times New Roman" w:hAnsi="Times New Roman"/>
          <w:sz w:val="24"/>
          <w:szCs w:val="24"/>
        </w:rPr>
        <w:t xml:space="preserve"> saņēma Klientu servisa i</w:t>
      </w:r>
      <w:r w:rsidRPr="00604378">
        <w:rPr>
          <w:rFonts w:ascii="Times New Roman" w:hAnsi="Times New Roman"/>
          <w:sz w:val="24"/>
          <w:szCs w:val="24"/>
        </w:rPr>
        <w:t xml:space="preserve">zcilības balvu kampaņā "Uzslavē labu servisu 2016" juridisko personu apkalpošanas kategorijā. </w:t>
      </w:r>
    </w:p>
    <w:p w14:paraId="63A8C21B" w14:textId="77777777" w:rsidR="003900FD" w:rsidRPr="00604378" w:rsidRDefault="003900FD" w:rsidP="003900FD">
      <w:pPr>
        <w:pStyle w:val="ListParagraph"/>
        <w:spacing w:after="120"/>
        <w:ind w:left="357"/>
        <w:contextualSpacing w:val="0"/>
        <w:jc w:val="both"/>
        <w:rPr>
          <w:rFonts w:ascii="Times New Roman" w:hAnsi="Times New Roman"/>
          <w:sz w:val="24"/>
          <w:szCs w:val="24"/>
        </w:rPr>
      </w:pPr>
      <w:r w:rsidRPr="00604378">
        <w:rPr>
          <w:rFonts w:ascii="Times New Roman" w:hAnsi="Times New Roman"/>
          <w:sz w:val="24"/>
          <w:szCs w:val="24"/>
        </w:rPr>
        <w:t xml:space="preserve">- </w:t>
      </w:r>
      <w:r>
        <w:rPr>
          <w:rFonts w:ascii="Times New Roman" w:hAnsi="Times New Roman"/>
          <w:sz w:val="24"/>
          <w:szCs w:val="24"/>
        </w:rPr>
        <w:t xml:space="preserve">Septembrī </w:t>
      </w:r>
      <w:proofErr w:type="spellStart"/>
      <w:r>
        <w:rPr>
          <w:rFonts w:ascii="Times New Roman" w:hAnsi="Times New Roman"/>
          <w:sz w:val="24"/>
          <w:szCs w:val="24"/>
        </w:rPr>
        <w:t>Altum</w:t>
      </w:r>
      <w:proofErr w:type="spellEnd"/>
      <w:r w:rsidRPr="00604378">
        <w:rPr>
          <w:rFonts w:ascii="Times New Roman" w:hAnsi="Times New Roman"/>
          <w:sz w:val="24"/>
          <w:szCs w:val="24"/>
        </w:rPr>
        <w:t xml:space="preserve"> tika godināts kā straujāk augošais zīmols Latvijā. Mīlētāko zīmolu tops Latvijā tiek veidots izmantojot starptautisku DDB </w:t>
      </w:r>
      <w:proofErr w:type="spellStart"/>
      <w:r w:rsidRPr="00604378">
        <w:rPr>
          <w:rFonts w:ascii="Times New Roman" w:hAnsi="Times New Roman"/>
          <w:sz w:val="24"/>
          <w:szCs w:val="24"/>
        </w:rPr>
        <w:t>Brand</w:t>
      </w:r>
      <w:proofErr w:type="spellEnd"/>
      <w:r w:rsidRPr="00604378">
        <w:rPr>
          <w:rFonts w:ascii="Times New Roman" w:hAnsi="Times New Roman"/>
          <w:sz w:val="24"/>
          <w:szCs w:val="24"/>
        </w:rPr>
        <w:t xml:space="preserve"> </w:t>
      </w:r>
      <w:proofErr w:type="spellStart"/>
      <w:r w:rsidRPr="00604378">
        <w:rPr>
          <w:rFonts w:ascii="Times New Roman" w:hAnsi="Times New Roman"/>
          <w:sz w:val="24"/>
          <w:szCs w:val="24"/>
        </w:rPr>
        <w:t>Capital</w:t>
      </w:r>
      <w:proofErr w:type="spellEnd"/>
      <w:r w:rsidRPr="00604378">
        <w:rPr>
          <w:rFonts w:ascii="Times New Roman" w:hAnsi="Times New Roman"/>
          <w:sz w:val="24"/>
          <w:szCs w:val="24"/>
        </w:rPr>
        <w:t xml:space="preserve"> TM metodoloģiju. Starp lielākajiem zīmoliem Latvijā tieši </w:t>
      </w:r>
      <w:proofErr w:type="spellStart"/>
      <w:r w:rsidRPr="00604378">
        <w:rPr>
          <w:rFonts w:ascii="Times New Roman" w:hAnsi="Times New Roman"/>
          <w:sz w:val="24"/>
          <w:szCs w:val="24"/>
        </w:rPr>
        <w:t>Altum</w:t>
      </w:r>
      <w:proofErr w:type="spellEnd"/>
      <w:r w:rsidRPr="00604378">
        <w:rPr>
          <w:rFonts w:ascii="Times New Roman" w:hAnsi="Times New Roman"/>
          <w:sz w:val="24"/>
          <w:szCs w:val="24"/>
        </w:rPr>
        <w:t xml:space="preserve"> zīmola mīlētāju skaits gada laikā audzis visstraujāk – vairāk nekā divas reizes. </w:t>
      </w:r>
      <w:proofErr w:type="spellStart"/>
      <w:r w:rsidRPr="00604378">
        <w:rPr>
          <w:rFonts w:ascii="Times New Roman" w:hAnsi="Times New Roman"/>
          <w:sz w:val="24"/>
          <w:szCs w:val="24"/>
        </w:rPr>
        <w:t>Altum</w:t>
      </w:r>
      <w:proofErr w:type="spellEnd"/>
      <w:r w:rsidRPr="00604378">
        <w:rPr>
          <w:rFonts w:ascii="Times New Roman" w:hAnsi="Times New Roman"/>
          <w:sz w:val="24"/>
          <w:szCs w:val="24"/>
        </w:rPr>
        <w:t xml:space="preserve"> ierindojās straujāk augošo zīmolu topa 1.vietā. </w:t>
      </w:r>
    </w:p>
    <w:p w14:paraId="5C2B67E3" w14:textId="77777777" w:rsidR="003900FD" w:rsidRPr="0019743F" w:rsidRDefault="003900FD" w:rsidP="003900FD">
      <w:pPr>
        <w:pStyle w:val="ListParagraph"/>
        <w:numPr>
          <w:ilvl w:val="0"/>
          <w:numId w:val="1"/>
        </w:numPr>
        <w:ind w:left="357" w:hanging="357"/>
        <w:contextualSpacing w:val="0"/>
        <w:jc w:val="both"/>
        <w:rPr>
          <w:rFonts w:ascii="Times New Roman" w:hAnsi="Times New Roman"/>
          <w:sz w:val="24"/>
          <w:szCs w:val="24"/>
          <w:u w:val="single"/>
        </w:rPr>
      </w:pPr>
      <w:proofErr w:type="spellStart"/>
      <w:r w:rsidRPr="0019743F">
        <w:rPr>
          <w:rFonts w:ascii="Times New Roman" w:eastAsia="Times New Roman" w:hAnsi="Times New Roman"/>
          <w:sz w:val="24"/>
          <w:szCs w:val="24"/>
          <w:u w:val="single"/>
        </w:rPr>
        <w:t>Nefinanšu</w:t>
      </w:r>
      <w:proofErr w:type="spellEnd"/>
      <w:r w:rsidRPr="0019743F">
        <w:rPr>
          <w:rFonts w:ascii="Times New Roman" w:eastAsia="Times New Roman" w:hAnsi="Times New Roman"/>
          <w:sz w:val="24"/>
          <w:szCs w:val="24"/>
          <w:u w:val="single"/>
        </w:rPr>
        <w:t xml:space="preserve"> mērķis Nr. 5. Ieviest jaunus valsts atbalsta instrumentus, tostarp: Fondu fonda pārvaldi, EFSI programmas, DME programmas, reversās l/s zemes nomas pakalpojumus u.c.</w:t>
      </w:r>
      <w:r w:rsidRPr="0019743F">
        <w:rPr>
          <w:rFonts w:ascii="Times New Roman" w:hAnsi="Times New Roman"/>
          <w:sz w:val="24"/>
          <w:szCs w:val="24"/>
          <w:u w:val="single"/>
        </w:rPr>
        <w:t xml:space="preserve"> </w:t>
      </w:r>
    </w:p>
    <w:p w14:paraId="083D66C1" w14:textId="77777777" w:rsidR="003900FD" w:rsidRPr="00593120" w:rsidRDefault="003900FD" w:rsidP="003900FD">
      <w:pPr>
        <w:pStyle w:val="ListParagraph"/>
        <w:ind w:left="357"/>
        <w:contextualSpacing w:val="0"/>
        <w:jc w:val="both"/>
        <w:rPr>
          <w:rFonts w:ascii="Times New Roman" w:hAnsi="Times New Roman"/>
          <w:sz w:val="24"/>
          <w:szCs w:val="24"/>
        </w:rPr>
      </w:pPr>
      <w:bookmarkStart w:id="15" w:name="_Hlk482776590"/>
      <w:r w:rsidRPr="00593120">
        <w:rPr>
          <w:rFonts w:ascii="Times New Roman" w:hAnsi="Times New Roman"/>
          <w:sz w:val="24"/>
          <w:szCs w:val="24"/>
        </w:rPr>
        <w:t xml:space="preserve">Gadam izvirzītie uzdevumi ir izpildīti. </w:t>
      </w:r>
      <w:bookmarkEnd w:id="15"/>
    </w:p>
    <w:p w14:paraId="369BB42F" w14:textId="77777777" w:rsidR="003900FD" w:rsidRPr="00593120" w:rsidRDefault="003900FD" w:rsidP="003900FD">
      <w:pPr>
        <w:pStyle w:val="ListParagraph"/>
        <w:ind w:left="357"/>
        <w:contextualSpacing w:val="0"/>
        <w:jc w:val="both"/>
        <w:rPr>
          <w:rFonts w:ascii="Times New Roman" w:hAnsi="Times New Roman"/>
          <w:sz w:val="24"/>
          <w:szCs w:val="24"/>
        </w:rPr>
      </w:pPr>
      <w:r w:rsidRPr="00593120">
        <w:rPr>
          <w:rFonts w:ascii="Times New Roman" w:hAnsi="Times New Roman"/>
          <w:bCs/>
          <w:sz w:val="24"/>
          <w:szCs w:val="24"/>
        </w:rPr>
        <w:t>-</w:t>
      </w:r>
      <w:r w:rsidRPr="00593120">
        <w:rPr>
          <w:rFonts w:ascii="Times New Roman" w:hAnsi="Times New Roman"/>
          <w:sz w:val="24"/>
          <w:szCs w:val="24"/>
          <w:lang w:eastAsia="en-US"/>
        </w:rPr>
        <w:t xml:space="preserve"> Jūnijā </w:t>
      </w:r>
      <w:proofErr w:type="spellStart"/>
      <w:r w:rsidRPr="00593120">
        <w:rPr>
          <w:rFonts w:ascii="Times New Roman" w:hAnsi="Times New Roman"/>
          <w:sz w:val="24"/>
          <w:szCs w:val="24"/>
          <w:lang w:eastAsia="en-US"/>
        </w:rPr>
        <w:t>Altum</w:t>
      </w:r>
      <w:proofErr w:type="spellEnd"/>
      <w:r w:rsidRPr="00593120">
        <w:rPr>
          <w:rFonts w:ascii="Times New Roman" w:hAnsi="Times New Roman"/>
          <w:sz w:val="24"/>
          <w:szCs w:val="24"/>
          <w:lang w:eastAsia="en-US"/>
        </w:rPr>
        <w:t xml:space="preserve"> uzsāka Fondu fonda pārvaldi, fonda ietvaros tika uzsāktas Starta un Mikro aizdevumu programmas, Komercdarbības atbalsta kredītu garantiju programma, kā arī Paralēlo aizdevumu programma. Līdz decembra beigām Fondu fonda programmās tika apstiprināti 134 aizdevumi par kopējo summu 2,86 milj. eiro un izsniegtas 68 garantijas par 13,6 milj. eiro. </w:t>
      </w:r>
      <w:r w:rsidRPr="00593120">
        <w:rPr>
          <w:rFonts w:ascii="Times New Roman" w:hAnsi="Times New Roman"/>
          <w:bCs/>
          <w:sz w:val="24"/>
          <w:szCs w:val="24"/>
        </w:rPr>
        <w:t xml:space="preserve">Fondu fonda aktivitāšu ietvaros Sabiedrība uzsāka akcelerācijas fondu pārvaldnieku atlasi. </w:t>
      </w:r>
    </w:p>
    <w:p w14:paraId="0E5C4026" w14:textId="77777777" w:rsidR="003900FD" w:rsidRPr="002D7DF9" w:rsidRDefault="003900FD" w:rsidP="003900FD">
      <w:pPr>
        <w:pStyle w:val="ListParagraph"/>
        <w:ind w:left="357"/>
        <w:contextualSpacing w:val="0"/>
        <w:jc w:val="both"/>
        <w:rPr>
          <w:rFonts w:ascii="Times New Roman" w:hAnsi="Times New Roman"/>
          <w:sz w:val="24"/>
          <w:szCs w:val="24"/>
          <w:u w:val="single"/>
        </w:rPr>
      </w:pPr>
      <w:r w:rsidRPr="00593120">
        <w:rPr>
          <w:rFonts w:ascii="Times New Roman" w:hAnsi="Times New Roman"/>
          <w:bCs/>
          <w:sz w:val="24"/>
          <w:szCs w:val="24"/>
        </w:rPr>
        <w:t>-</w:t>
      </w:r>
      <w:r w:rsidRPr="00593120">
        <w:rPr>
          <w:rFonts w:ascii="Times New Roman" w:hAnsi="Times New Roman"/>
          <w:sz w:val="24"/>
          <w:szCs w:val="24"/>
        </w:rPr>
        <w:t xml:space="preserve"> </w:t>
      </w:r>
      <w:r w:rsidRPr="00593120">
        <w:rPr>
          <w:rFonts w:ascii="Times New Roman" w:hAnsi="Times New Roman"/>
          <w:bCs/>
          <w:sz w:val="24"/>
          <w:szCs w:val="24"/>
        </w:rPr>
        <w:t xml:space="preserve">Sekmējot Eiropas Stratēģisko investīciju fonda (EFSI) līdzekļu izmantošanu Latvijā un veicinot lielo investīciju projektu (virs 50 milj. eiro) realizāciju, Sabiedrība sadarbībā ar Eiropas Investīciju banku un Eiropas Komisijas pārstāvniecību Latvijā, regulāri veic informatīvas aktivitātes un nodrošina lielo projektu konsultēšanu par EFSI līdzekļu saņemšanu. 2016.gada 14.oktobrī Sabiedrība noslēdza līgumu ar Eiropas Investīciju fondu (EIF) par </w:t>
      </w:r>
      <w:proofErr w:type="spellStart"/>
      <w:r w:rsidRPr="00593120">
        <w:rPr>
          <w:rFonts w:ascii="Times New Roman" w:hAnsi="Times New Roman"/>
          <w:bCs/>
          <w:sz w:val="24"/>
          <w:szCs w:val="24"/>
        </w:rPr>
        <w:t>InnovFin</w:t>
      </w:r>
      <w:proofErr w:type="spellEnd"/>
      <w:r w:rsidRPr="00593120">
        <w:rPr>
          <w:rFonts w:ascii="Times New Roman" w:hAnsi="Times New Roman"/>
          <w:bCs/>
          <w:sz w:val="24"/>
          <w:szCs w:val="24"/>
        </w:rPr>
        <w:t xml:space="preserve"> programmas </w:t>
      </w:r>
      <w:proofErr w:type="spellStart"/>
      <w:r w:rsidRPr="00593120">
        <w:rPr>
          <w:rFonts w:ascii="Times New Roman" w:hAnsi="Times New Roman"/>
          <w:bCs/>
          <w:sz w:val="24"/>
          <w:szCs w:val="24"/>
        </w:rPr>
        <w:t>pretgarantiju</w:t>
      </w:r>
      <w:proofErr w:type="spellEnd"/>
      <w:r w:rsidRPr="00593120">
        <w:rPr>
          <w:rFonts w:ascii="Times New Roman" w:hAnsi="Times New Roman"/>
          <w:bCs/>
          <w:sz w:val="24"/>
          <w:szCs w:val="24"/>
        </w:rPr>
        <w:t xml:space="preserve"> realizāciju 30 milj</w:t>
      </w:r>
      <w:r w:rsidRPr="002D7DF9">
        <w:rPr>
          <w:rFonts w:ascii="Times New Roman" w:hAnsi="Times New Roman"/>
          <w:bCs/>
          <w:sz w:val="24"/>
          <w:szCs w:val="24"/>
        </w:rPr>
        <w:t xml:space="preserve">. eiro garantiju portfelim. </w:t>
      </w:r>
    </w:p>
    <w:p w14:paraId="0415B9D1" w14:textId="77777777" w:rsidR="003900FD" w:rsidRPr="00983A0F" w:rsidRDefault="003900FD" w:rsidP="003900FD">
      <w:pPr>
        <w:pStyle w:val="ListParagraph"/>
        <w:ind w:left="357"/>
        <w:contextualSpacing w:val="0"/>
        <w:jc w:val="both"/>
        <w:rPr>
          <w:rFonts w:ascii="Times New Roman" w:hAnsi="Times New Roman"/>
          <w:sz w:val="24"/>
          <w:szCs w:val="24"/>
          <w:u w:val="single"/>
        </w:rPr>
      </w:pPr>
      <w:r w:rsidRPr="002D7DF9">
        <w:rPr>
          <w:rFonts w:ascii="Times New Roman" w:hAnsi="Times New Roman"/>
          <w:sz w:val="24"/>
          <w:szCs w:val="24"/>
          <w:lang w:eastAsia="en-US"/>
        </w:rPr>
        <w:t xml:space="preserve">- </w:t>
      </w:r>
      <w:r w:rsidRPr="00593120">
        <w:rPr>
          <w:rFonts w:ascii="Times New Roman" w:hAnsi="Times New Roman"/>
          <w:sz w:val="24"/>
          <w:szCs w:val="24"/>
          <w:lang w:eastAsia="en-US"/>
        </w:rPr>
        <w:t>2016.gadā Sabiedrība sāka īstenot Daudzdzīvokļu māju energoefektivitātes programmu. Tika</w:t>
      </w:r>
      <w:r w:rsidRPr="002D7DF9">
        <w:rPr>
          <w:rFonts w:ascii="Times New Roman" w:hAnsi="Times New Roman"/>
          <w:sz w:val="24"/>
          <w:szCs w:val="24"/>
          <w:lang w:eastAsia="en-US"/>
        </w:rPr>
        <w:t xml:space="preserve"> veikta</w:t>
      </w:r>
      <w:r>
        <w:rPr>
          <w:rFonts w:ascii="Times New Roman" w:hAnsi="Times New Roman"/>
          <w:sz w:val="24"/>
          <w:szCs w:val="24"/>
          <w:lang w:eastAsia="en-US"/>
        </w:rPr>
        <w:t xml:space="preserve"> plaša interesentu konsultēšana, septembrī s</w:t>
      </w:r>
      <w:r w:rsidRPr="002D7DF9">
        <w:rPr>
          <w:rFonts w:ascii="Times New Roman" w:hAnsi="Times New Roman"/>
          <w:sz w:val="24"/>
          <w:szCs w:val="24"/>
          <w:lang w:eastAsia="en-US"/>
        </w:rPr>
        <w:t xml:space="preserve">abiedrība sāka pieņemt Daudzdzīvokļu māju energoefektivitātes programmas </w:t>
      </w:r>
      <w:proofErr w:type="spellStart"/>
      <w:r w:rsidRPr="002D7DF9">
        <w:rPr>
          <w:rFonts w:ascii="Times New Roman" w:hAnsi="Times New Roman"/>
          <w:sz w:val="24"/>
          <w:szCs w:val="24"/>
          <w:lang w:eastAsia="en-US"/>
        </w:rPr>
        <w:t>grantu</w:t>
      </w:r>
      <w:proofErr w:type="spellEnd"/>
      <w:r w:rsidRPr="002D7DF9">
        <w:rPr>
          <w:rFonts w:ascii="Times New Roman" w:hAnsi="Times New Roman"/>
          <w:sz w:val="24"/>
          <w:szCs w:val="24"/>
          <w:lang w:eastAsia="en-US"/>
        </w:rPr>
        <w:t xml:space="preserve">, aizdevumu un garantiju pieteikumus. </w:t>
      </w:r>
    </w:p>
    <w:p w14:paraId="50862964" w14:textId="77777777" w:rsidR="003900FD" w:rsidRPr="002D7DF9" w:rsidRDefault="003900FD" w:rsidP="003900FD">
      <w:pPr>
        <w:pStyle w:val="ListParagraph"/>
        <w:ind w:left="357"/>
        <w:contextualSpacing w:val="0"/>
        <w:jc w:val="both"/>
        <w:rPr>
          <w:rFonts w:ascii="Times New Roman" w:hAnsi="Times New Roman"/>
          <w:sz w:val="24"/>
          <w:szCs w:val="24"/>
          <w:u w:val="single"/>
        </w:rPr>
      </w:pPr>
      <w:r w:rsidRPr="002D7DF9">
        <w:rPr>
          <w:rFonts w:ascii="Times New Roman" w:hAnsi="Times New Roman"/>
          <w:sz w:val="24"/>
          <w:szCs w:val="24"/>
          <w:lang w:eastAsia="en-US"/>
        </w:rPr>
        <w:t xml:space="preserve">- </w:t>
      </w:r>
      <w:r w:rsidRPr="00983A0F">
        <w:rPr>
          <w:rFonts w:ascii="Times New Roman" w:hAnsi="Times New Roman"/>
          <w:sz w:val="24"/>
          <w:szCs w:val="24"/>
          <w:lang w:eastAsia="en-US"/>
        </w:rPr>
        <w:t>Paplašināta Latvijas zemes fonda darbība</w:t>
      </w:r>
      <w:r w:rsidRPr="002D7DF9">
        <w:rPr>
          <w:rFonts w:ascii="Times New Roman" w:hAnsi="Times New Roman"/>
          <w:sz w:val="24"/>
          <w:szCs w:val="24"/>
          <w:lang w:eastAsia="en-US"/>
        </w:rPr>
        <w:t xml:space="preserve">, 12 mēnešos kopā iegādāti 2 038 hektāri (114% pret plānoto) par kopējo summu 4,6 milj. EUR (132% pret plānoto). </w:t>
      </w:r>
    </w:p>
    <w:p w14:paraId="45EED072" w14:textId="3B4E6FE4" w:rsidR="003900FD" w:rsidRDefault="003900FD" w:rsidP="003900FD">
      <w:pPr>
        <w:pStyle w:val="ListParagraph"/>
        <w:spacing w:after="120"/>
        <w:ind w:left="357"/>
        <w:contextualSpacing w:val="0"/>
        <w:jc w:val="both"/>
        <w:rPr>
          <w:rFonts w:ascii="Times New Roman" w:hAnsi="Times New Roman"/>
          <w:sz w:val="24"/>
          <w:szCs w:val="24"/>
        </w:rPr>
      </w:pPr>
      <w:r w:rsidRPr="00983A0F">
        <w:rPr>
          <w:rFonts w:ascii="Times New Roman" w:hAnsi="Times New Roman"/>
          <w:sz w:val="24"/>
          <w:szCs w:val="24"/>
        </w:rPr>
        <w:t xml:space="preserve">- </w:t>
      </w:r>
      <w:r>
        <w:rPr>
          <w:rFonts w:ascii="Times New Roman" w:hAnsi="Times New Roman"/>
          <w:sz w:val="24"/>
          <w:szCs w:val="24"/>
        </w:rPr>
        <w:t>B</w:t>
      </w:r>
      <w:r w:rsidRPr="00983A0F">
        <w:rPr>
          <w:rFonts w:ascii="Times New Roman" w:hAnsi="Times New Roman"/>
          <w:sz w:val="24"/>
          <w:szCs w:val="24"/>
        </w:rPr>
        <w:t>ūtiski</w:t>
      </w:r>
      <w:r w:rsidRPr="00983A0F">
        <w:t xml:space="preserve"> </w:t>
      </w:r>
      <w:r w:rsidRPr="00983A0F">
        <w:rPr>
          <w:rFonts w:ascii="Times New Roman" w:hAnsi="Times New Roman"/>
          <w:sz w:val="24"/>
          <w:szCs w:val="24"/>
        </w:rPr>
        <w:t>paplašināta Mājokļu galvojumu programma ģimenēm ar bērniem</w:t>
      </w:r>
      <w:r w:rsidRPr="00C41159">
        <w:rPr>
          <w:rFonts w:ascii="Times New Roman" w:hAnsi="Times New Roman"/>
          <w:sz w:val="24"/>
          <w:szCs w:val="24"/>
        </w:rPr>
        <w:t xml:space="preserve">. </w:t>
      </w:r>
    </w:p>
    <w:p w14:paraId="4B275C63" w14:textId="202846B7" w:rsidR="00BD35E8" w:rsidRDefault="00BD35E8" w:rsidP="003900FD">
      <w:pPr>
        <w:pStyle w:val="ListParagraph"/>
        <w:spacing w:after="120"/>
        <w:ind w:left="357"/>
        <w:contextualSpacing w:val="0"/>
        <w:jc w:val="both"/>
        <w:rPr>
          <w:rFonts w:ascii="Times New Roman" w:hAnsi="Times New Roman"/>
          <w:sz w:val="24"/>
          <w:szCs w:val="24"/>
        </w:rPr>
      </w:pPr>
    </w:p>
    <w:p w14:paraId="442DAE8D" w14:textId="278E296C" w:rsidR="00BD35E8" w:rsidRDefault="00BD35E8">
      <w:pPr>
        <w:rPr>
          <w:rFonts w:ascii="Times New Roman" w:hAnsi="Times New Roman" w:cs="Times New Roman"/>
          <w:sz w:val="24"/>
          <w:szCs w:val="24"/>
          <w:lang w:eastAsia="lv-LV"/>
        </w:rPr>
      </w:pPr>
      <w:r>
        <w:rPr>
          <w:rFonts w:ascii="Times New Roman" w:hAnsi="Times New Roman"/>
          <w:sz w:val="24"/>
          <w:szCs w:val="24"/>
        </w:rPr>
        <w:br w:type="page"/>
      </w:r>
    </w:p>
    <w:p w14:paraId="01E44561" w14:textId="0A2C72B7" w:rsidR="00531702" w:rsidRPr="0033433A" w:rsidRDefault="00D91CFF" w:rsidP="00D91CFF">
      <w:pPr>
        <w:tabs>
          <w:tab w:val="right" w:pos="8640"/>
        </w:tabs>
        <w:spacing w:before="240" w:after="120" w:line="276"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r w:rsidR="00531702">
        <w:rPr>
          <w:rFonts w:ascii="Times New Roman" w:eastAsia="Calibri" w:hAnsi="Times New Roman" w:cs="Times New Roman"/>
          <w:b/>
          <w:bCs/>
          <w:sz w:val="28"/>
          <w:szCs w:val="28"/>
        </w:rPr>
        <w:t>3.</w:t>
      </w:r>
      <w:r>
        <w:rPr>
          <w:rFonts w:ascii="Times New Roman" w:eastAsia="Calibri" w:hAnsi="Times New Roman" w:cs="Times New Roman"/>
          <w:b/>
          <w:bCs/>
          <w:sz w:val="28"/>
          <w:szCs w:val="28"/>
        </w:rPr>
        <w:t xml:space="preserve"> </w:t>
      </w:r>
      <w:r w:rsidR="00531702" w:rsidRPr="00531702">
        <w:rPr>
          <w:rFonts w:ascii="Times New Roman" w:eastAsia="Calibri" w:hAnsi="Times New Roman" w:cs="Times New Roman"/>
          <w:b/>
          <w:bCs/>
          <w:sz w:val="28"/>
          <w:szCs w:val="28"/>
        </w:rPr>
        <w:t>Finanšu rādītāji</w:t>
      </w:r>
      <w:r w:rsidR="00531702" w:rsidRPr="0033433A">
        <w:rPr>
          <w:rFonts w:ascii="Times New Roman" w:eastAsia="Calibri" w:hAnsi="Times New Roman" w:cs="Times New Roman"/>
          <w:b/>
          <w:bCs/>
          <w:sz w:val="28"/>
          <w:szCs w:val="28"/>
        </w:rPr>
        <w:t xml:space="preserve"> </w:t>
      </w:r>
    </w:p>
    <w:tbl>
      <w:tblPr>
        <w:tblW w:w="9073" w:type="dxa"/>
        <w:tblInd w:w="-436" w:type="dxa"/>
        <w:tblLayout w:type="fixed"/>
        <w:tblLook w:val="04A0" w:firstRow="1" w:lastRow="0" w:firstColumn="1" w:lastColumn="0" w:noHBand="0" w:noVBand="1"/>
      </w:tblPr>
      <w:tblGrid>
        <w:gridCol w:w="3403"/>
        <w:gridCol w:w="1418"/>
        <w:gridCol w:w="1417"/>
        <w:gridCol w:w="1276"/>
        <w:gridCol w:w="1559"/>
      </w:tblGrid>
      <w:tr w:rsidR="003E6326" w:rsidRPr="00284429" w14:paraId="489AC11D" w14:textId="77777777" w:rsidTr="003E6326">
        <w:trPr>
          <w:trHeight w:val="625"/>
        </w:trPr>
        <w:tc>
          <w:tcPr>
            <w:tcW w:w="3403"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15C0D696" w14:textId="2990AC97" w:rsidR="003E6326" w:rsidRPr="00284429" w:rsidRDefault="003E6326" w:rsidP="00531702">
            <w:pPr>
              <w:spacing w:after="0" w:line="240" w:lineRule="auto"/>
              <w:jc w:val="center"/>
              <w:rPr>
                <w:rFonts w:ascii="Times New Roman" w:eastAsia="Times New Roman" w:hAnsi="Times New Roman" w:cs="Times New Roman"/>
                <w:sz w:val="24"/>
                <w:szCs w:val="24"/>
                <w:lang w:eastAsia="lv-LV"/>
              </w:rPr>
            </w:pPr>
            <w:r w:rsidRPr="00284429">
              <w:rPr>
                <w:rFonts w:ascii="Times New Roman" w:eastAsia="Times New Roman" w:hAnsi="Times New Roman" w:cs="Times New Roman"/>
                <w:sz w:val="24"/>
                <w:szCs w:val="24"/>
                <w:lang w:eastAsia="lv-LV"/>
              </w:rPr>
              <w:t xml:space="preserve">Finanšu rādītāji darbības plānā un budžetā </w:t>
            </w:r>
          </w:p>
        </w:tc>
        <w:tc>
          <w:tcPr>
            <w:tcW w:w="1418"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21F4E527" w14:textId="0BE75815" w:rsidR="003E6326" w:rsidRPr="00284429" w:rsidRDefault="003E6326" w:rsidP="00531702">
            <w:pPr>
              <w:spacing w:after="0" w:line="240" w:lineRule="auto"/>
              <w:jc w:val="center"/>
              <w:rPr>
                <w:rFonts w:ascii="Times New Roman" w:eastAsia="Times New Roman" w:hAnsi="Times New Roman" w:cs="Times New Roman"/>
                <w:color w:val="000000"/>
                <w:sz w:val="24"/>
                <w:szCs w:val="24"/>
                <w:lang w:eastAsia="lv-LV"/>
              </w:rPr>
            </w:pPr>
            <w:r w:rsidRPr="00284429">
              <w:rPr>
                <w:rFonts w:ascii="Times New Roman" w:eastAsia="Times New Roman" w:hAnsi="Times New Roman" w:cs="Times New Roman"/>
                <w:color w:val="000000"/>
                <w:sz w:val="24"/>
                <w:szCs w:val="24"/>
                <w:lang w:eastAsia="lv-LV"/>
              </w:rPr>
              <w:t>Fakts 2015.gadā</w:t>
            </w:r>
          </w:p>
        </w:tc>
        <w:tc>
          <w:tcPr>
            <w:tcW w:w="1417"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4B07C689" w14:textId="17A77ED8" w:rsidR="003E6326" w:rsidRPr="00284429" w:rsidRDefault="003E6326" w:rsidP="00531702">
            <w:pPr>
              <w:spacing w:after="0" w:line="240" w:lineRule="auto"/>
              <w:jc w:val="center"/>
              <w:rPr>
                <w:rFonts w:ascii="Times New Roman" w:eastAsia="Times New Roman" w:hAnsi="Times New Roman" w:cs="Times New Roman"/>
                <w:color w:val="000000"/>
                <w:sz w:val="24"/>
                <w:szCs w:val="24"/>
                <w:lang w:eastAsia="lv-LV"/>
              </w:rPr>
            </w:pPr>
            <w:r w:rsidRPr="00284429">
              <w:rPr>
                <w:rFonts w:ascii="Times New Roman" w:eastAsia="Times New Roman" w:hAnsi="Times New Roman" w:cs="Times New Roman"/>
                <w:color w:val="000000"/>
                <w:sz w:val="24"/>
                <w:szCs w:val="24"/>
                <w:lang w:eastAsia="lv-LV"/>
              </w:rPr>
              <w:t>Plānotais      2016.gadā</w:t>
            </w:r>
          </w:p>
        </w:tc>
        <w:tc>
          <w:tcPr>
            <w:tcW w:w="1276"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0458468C" w14:textId="69759B60" w:rsidR="003E6326" w:rsidRPr="00284429" w:rsidRDefault="003E6326" w:rsidP="00531702">
            <w:pPr>
              <w:spacing w:after="0" w:line="240" w:lineRule="auto"/>
              <w:jc w:val="center"/>
              <w:rPr>
                <w:rFonts w:ascii="Times New Roman" w:eastAsia="Times New Roman" w:hAnsi="Times New Roman" w:cs="Times New Roman"/>
                <w:color w:val="000000"/>
                <w:sz w:val="24"/>
                <w:szCs w:val="24"/>
                <w:lang w:eastAsia="lv-LV"/>
              </w:rPr>
            </w:pPr>
            <w:r w:rsidRPr="00284429">
              <w:rPr>
                <w:rFonts w:ascii="Times New Roman" w:eastAsia="Times New Roman" w:hAnsi="Times New Roman" w:cs="Times New Roman"/>
                <w:color w:val="000000"/>
                <w:sz w:val="24"/>
                <w:szCs w:val="24"/>
                <w:lang w:eastAsia="lv-LV"/>
              </w:rPr>
              <w:t>Fakts         2016.gadā</w:t>
            </w:r>
          </w:p>
        </w:tc>
        <w:tc>
          <w:tcPr>
            <w:tcW w:w="1559"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499714FE" w14:textId="77777777" w:rsidR="003E6326" w:rsidRPr="00284429" w:rsidRDefault="003E6326" w:rsidP="00531702">
            <w:pPr>
              <w:spacing w:after="0" w:line="240" w:lineRule="auto"/>
              <w:jc w:val="center"/>
              <w:rPr>
                <w:rFonts w:ascii="Times New Roman" w:eastAsia="Times New Roman" w:hAnsi="Times New Roman" w:cs="Times New Roman"/>
                <w:color w:val="000000"/>
                <w:sz w:val="24"/>
                <w:szCs w:val="24"/>
                <w:lang w:eastAsia="lv-LV"/>
              </w:rPr>
            </w:pPr>
            <w:r w:rsidRPr="00284429">
              <w:rPr>
                <w:rFonts w:ascii="Times New Roman" w:eastAsia="Times New Roman" w:hAnsi="Times New Roman" w:cs="Times New Roman"/>
                <w:color w:val="000000"/>
                <w:sz w:val="24"/>
                <w:szCs w:val="24"/>
                <w:lang w:eastAsia="lv-LV"/>
              </w:rPr>
              <w:t>Novirze  no plānotā</w:t>
            </w:r>
          </w:p>
        </w:tc>
      </w:tr>
      <w:tr w:rsidR="003E6326" w:rsidRPr="00284429" w14:paraId="4068CB72" w14:textId="77777777" w:rsidTr="003E6326">
        <w:trPr>
          <w:trHeight w:val="315"/>
        </w:trPr>
        <w:tc>
          <w:tcPr>
            <w:tcW w:w="3403" w:type="dxa"/>
            <w:tcBorders>
              <w:top w:val="single" w:sz="8" w:space="0" w:color="auto"/>
              <w:left w:val="single" w:sz="8" w:space="0" w:color="auto"/>
              <w:bottom w:val="single" w:sz="8" w:space="0" w:color="auto"/>
              <w:right w:val="single" w:sz="8" w:space="0" w:color="auto"/>
            </w:tcBorders>
            <w:shd w:val="clear" w:color="auto" w:fill="auto"/>
            <w:hideMark/>
          </w:tcPr>
          <w:p w14:paraId="73EF4568" w14:textId="0462EF34" w:rsidR="003E6326" w:rsidRPr="00284429" w:rsidRDefault="003E6326" w:rsidP="003E6326">
            <w:pPr>
              <w:spacing w:after="0" w:line="240" w:lineRule="auto"/>
              <w:rPr>
                <w:rFonts w:ascii="Times New Roman" w:eastAsia="Times New Roman" w:hAnsi="Times New Roman" w:cs="Times New Roman"/>
                <w:color w:val="000000"/>
                <w:sz w:val="20"/>
                <w:szCs w:val="20"/>
                <w:lang w:eastAsia="lv-LV"/>
              </w:rPr>
            </w:pPr>
            <w:r w:rsidRPr="00284429">
              <w:rPr>
                <w:rFonts w:ascii="Times New Roman" w:hAnsi="Times New Roman" w:cs="Times New Roman"/>
              </w:rPr>
              <w:t>Neto apgrozījums, EUR</w:t>
            </w:r>
          </w:p>
        </w:tc>
        <w:tc>
          <w:tcPr>
            <w:tcW w:w="1418" w:type="dxa"/>
            <w:tcBorders>
              <w:top w:val="single" w:sz="8" w:space="0" w:color="auto"/>
              <w:left w:val="single" w:sz="8" w:space="0" w:color="auto"/>
              <w:bottom w:val="single" w:sz="8" w:space="0" w:color="auto"/>
              <w:right w:val="single" w:sz="8" w:space="0" w:color="auto"/>
            </w:tcBorders>
            <w:shd w:val="clear" w:color="auto" w:fill="auto"/>
            <w:noWrap/>
            <w:hideMark/>
          </w:tcPr>
          <w:p w14:paraId="3D4698BF" w14:textId="4AEE02F9" w:rsidR="003E6326" w:rsidRPr="00284429" w:rsidRDefault="003E6326" w:rsidP="003E6326">
            <w:pPr>
              <w:spacing w:after="0" w:line="240" w:lineRule="auto"/>
              <w:jc w:val="right"/>
              <w:rPr>
                <w:rFonts w:ascii="Times New Roman" w:eastAsia="Times New Roman" w:hAnsi="Times New Roman" w:cs="Times New Roman"/>
                <w:color w:val="000000"/>
                <w:sz w:val="18"/>
                <w:szCs w:val="18"/>
                <w:highlight w:val="yellow"/>
                <w:lang w:eastAsia="lv-LV"/>
              </w:rPr>
            </w:pPr>
            <w:r w:rsidRPr="00284429">
              <w:rPr>
                <w:rFonts w:ascii="Times New Roman" w:hAnsi="Times New Roman" w:cs="Times New Roman"/>
              </w:rPr>
              <w:t>11 126 719</w:t>
            </w:r>
          </w:p>
        </w:tc>
        <w:tc>
          <w:tcPr>
            <w:tcW w:w="1417" w:type="dxa"/>
            <w:tcBorders>
              <w:top w:val="single" w:sz="8" w:space="0" w:color="auto"/>
              <w:left w:val="single" w:sz="8" w:space="0" w:color="auto"/>
              <w:bottom w:val="single" w:sz="8" w:space="0" w:color="auto"/>
              <w:right w:val="single" w:sz="8" w:space="0" w:color="auto"/>
            </w:tcBorders>
            <w:shd w:val="clear" w:color="auto" w:fill="auto"/>
            <w:noWrap/>
            <w:hideMark/>
          </w:tcPr>
          <w:p w14:paraId="585EBBDD" w14:textId="79D87E6A" w:rsidR="003E6326" w:rsidRPr="00284429" w:rsidRDefault="003E6326" w:rsidP="003E6326">
            <w:pPr>
              <w:spacing w:after="0" w:line="240" w:lineRule="auto"/>
              <w:jc w:val="right"/>
              <w:rPr>
                <w:rFonts w:ascii="Times New Roman" w:eastAsia="Times New Roman" w:hAnsi="Times New Roman" w:cs="Times New Roman"/>
                <w:color w:val="000000"/>
                <w:sz w:val="18"/>
                <w:szCs w:val="18"/>
                <w:highlight w:val="yellow"/>
                <w:lang w:eastAsia="lv-LV"/>
              </w:rPr>
            </w:pPr>
            <w:r w:rsidRPr="00284429">
              <w:rPr>
                <w:rFonts w:ascii="Times New Roman" w:hAnsi="Times New Roman" w:cs="Times New Roman"/>
              </w:rPr>
              <w:t>16 296 581</w:t>
            </w:r>
          </w:p>
        </w:tc>
        <w:tc>
          <w:tcPr>
            <w:tcW w:w="1276" w:type="dxa"/>
            <w:tcBorders>
              <w:top w:val="single" w:sz="8" w:space="0" w:color="auto"/>
              <w:left w:val="single" w:sz="8" w:space="0" w:color="auto"/>
              <w:bottom w:val="single" w:sz="8" w:space="0" w:color="auto"/>
              <w:right w:val="single" w:sz="8" w:space="0" w:color="auto"/>
            </w:tcBorders>
            <w:shd w:val="clear" w:color="auto" w:fill="auto"/>
            <w:noWrap/>
            <w:hideMark/>
          </w:tcPr>
          <w:p w14:paraId="4559FD61" w14:textId="3FFF6231" w:rsidR="003E6326" w:rsidRPr="00284429" w:rsidRDefault="003E6326" w:rsidP="003E6326">
            <w:pPr>
              <w:spacing w:after="0" w:line="240" w:lineRule="auto"/>
              <w:jc w:val="right"/>
              <w:rPr>
                <w:rFonts w:ascii="Times New Roman" w:eastAsia="Times New Roman" w:hAnsi="Times New Roman" w:cs="Times New Roman"/>
                <w:color w:val="000000"/>
                <w:sz w:val="18"/>
                <w:szCs w:val="18"/>
                <w:highlight w:val="yellow"/>
                <w:lang w:eastAsia="lv-LV"/>
              </w:rPr>
            </w:pPr>
            <w:r w:rsidRPr="00284429">
              <w:rPr>
                <w:rFonts w:ascii="Times New Roman" w:hAnsi="Times New Roman" w:cs="Times New Roman"/>
              </w:rPr>
              <w:t>14 123 687</w:t>
            </w:r>
          </w:p>
        </w:tc>
        <w:tc>
          <w:tcPr>
            <w:tcW w:w="1559" w:type="dxa"/>
            <w:tcBorders>
              <w:top w:val="single" w:sz="8" w:space="0" w:color="auto"/>
              <w:left w:val="single" w:sz="8" w:space="0" w:color="auto"/>
              <w:bottom w:val="single" w:sz="8" w:space="0" w:color="auto"/>
              <w:right w:val="single" w:sz="8" w:space="0" w:color="auto"/>
            </w:tcBorders>
            <w:shd w:val="clear" w:color="auto" w:fill="auto"/>
            <w:noWrap/>
            <w:hideMark/>
          </w:tcPr>
          <w:p w14:paraId="285A41E4" w14:textId="5A3788DC" w:rsidR="003E6326" w:rsidRPr="00284429" w:rsidRDefault="003E6326" w:rsidP="003E6326">
            <w:pPr>
              <w:spacing w:after="0" w:line="240" w:lineRule="auto"/>
              <w:jc w:val="right"/>
              <w:rPr>
                <w:rFonts w:ascii="Times New Roman" w:eastAsia="Times New Roman" w:hAnsi="Times New Roman" w:cs="Times New Roman"/>
                <w:color w:val="000000"/>
                <w:sz w:val="18"/>
                <w:szCs w:val="18"/>
                <w:highlight w:val="yellow"/>
                <w:lang w:eastAsia="lv-LV"/>
              </w:rPr>
            </w:pPr>
            <w:r w:rsidRPr="00284429">
              <w:rPr>
                <w:rFonts w:ascii="Times New Roman" w:hAnsi="Times New Roman" w:cs="Times New Roman"/>
              </w:rPr>
              <w:t>-2 172 894</w:t>
            </w:r>
          </w:p>
        </w:tc>
      </w:tr>
      <w:tr w:rsidR="003E6326" w:rsidRPr="00284429" w14:paraId="3A78B9C9" w14:textId="77777777" w:rsidTr="003E6326">
        <w:trPr>
          <w:trHeight w:val="315"/>
        </w:trPr>
        <w:tc>
          <w:tcPr>
            <w:tcW w:w="3403" w:type="dxa"/>
            <w:tcBorders>
              <w:top w:val="single" w:sz="8" w:space="0" w:color="auto"/>
              <w:left w:val="single" w:sz="8" w:space="0" w:color="auto"/>
              <w:bottom w:val="single" w:sz="8" w:space="0" w:color="auto"/>
              <w:right w:val="single" w:sz="8" w:space="0" w:color="auto"/>
            </w:tcBorders>
            <w:shd w:val="clear" w:color="auto" w:fill="auto"/>
            <w:hideMark/>
          </w:tcPr>
          <w:p w14:paraId="0F51BC6B" w14:textId="155539D3" w:rsidR="003E6326" w:rsidRPr="00284429" w:rsidRDefault="003E6326" w:rsidP="003E6326">
            <w:pPr>
              <w:spacing w:after="0" w:line="240" w:lineRule="auto"/>
              <w:rPr>
                <w:rFonts w:ascii="Times New Roman" w:eastAsia="Times New Roman" w:hAnsi="Times New Roman" w:cs="Times New Roman"/>
                <w:color w:val="000000"/>
                <w:sz w:val="20"/>
                <w:szCs w:val="20"/>
                <w:lang w:eastAsia="lv-LV"/>
              </w:rPr>
            </w:pPr>
            <w:r w:rsidRPr="00284429">
              <w:rPr>
                <w:rFonts w:ascii="Times New Roman" w:hAnsi="Times New Roman" w:cs="Times New Roman"/>
              </w:rPr>
              <w:t>Peļņa, EUR</w:t>
            </w:r>
          </w:p>
        </w:tc>
        <w:tc>
          <w:tcPr>
            <w:tcW w:w="1418" w:type="dxa"/>
            <w:tcBorders>
              <w:top w:val="single" w:sz="8" w:space="0" w:color="auto"/>
              <w:left w:val="single" w:sz="8" w:space="0" w:color="auto"/>
              <w:bottom w:val="single" w:sz="8" w:space="0" w:color="auto"/>
              <w:right w:val="single" w:sz="8" w:space="0" w:color="auto"/>
            </w:tcBorders>
            <w:shd w:val="clear" w:color="auto" w:fill="auto"/>
            <w:noWrap/>
            <w:hideMark/>
          </w:tcPr>
          <w:p w14:paraId="4DB60CD8" w14:textId="41D77D55" w:rsidR="003E6326" w:rsidRPr="00284429" w:rsidRDefault="003E6326" w:rsidP="003E6326">
            <w:pPr>
              <w:spacing w:after="0" w:line="240" w:lineRule="auto"/>
              <w:jc w:val="right"/>
              <w:rPr>
                <w:rFonts w:ascii="Times New Roman" w:eastAsia="Times New Roman" w:hAnsi="Times New Roman" w:cs="Times New Roman"/>
                <w:color w:val="000000"/>
                <w:sz w:val="18"/>
                <w:szCs w:val="18"/>
                <w:highlight w:val="yellow"/>
                <w:lang w:eastAsia="lv-LV"/>
              </w:rPr>
            </w:pPr>
            <w:r w:rsidRPr="00284429">
              <w:rPr>
                <w:rFonts w:ascii="Times New Roman" w:hAnsi="Times New Roman" w:cs="Times New Roman"/>
              </w:rPr>
              <w:t>2 208 249</w:t>
            </w:r>
          </w:p>
        </w:tc>
        <w:tc>
          <w:tcPr>
            <w:tcW w:w="1417" w:type="dxa"/>
            <w:tcBorders>
              <w:top w:val="single" w:sz="8" w:space="0" w:color="auto"/>
              <w:left w:val="single" w:sz="8" w:space="0" w:color="auto"/>
              <w:bottom w:val="single" w:sz="8" w:space="0" w:color="auto"/>
              <w:right w:val="single" w:sz="8" w:space="0" w:color="auto"/>
            </w:tcBorders>
            <w:shd w:val="clear" w:color="auto" w:fill="auto"/>
            <w:noWrap/>
            <w:hideMark/>
          </w:tcPr>
          <w:p w14:paraId="5C17883E" w14:textId="49DC2DE1" w:rsidR="003E6326" w:rsidRPr="00284429" w:rsidRDefault="003E6326" w:rsidP="003E6326">
            <w:pPr>
              <w:spacing w:after="0" w:line="240" w:lineRule="auto"/>
              <w:jc w:val="right"/>
              <w:rPr>
                <w:rFonts w:ascii="Times New Roman" w:eastAsia="Times New Roman" w:hAnsi="Times New Roman" w:cs="Times New Roman"/>
                <w:color w:val="000000"/>
                <w:sz w:val="18"/>
                <w:szCs w:val="18"/>
                <w:highlight w:val="yellow"/>
                <w:lang w:eastAsia="lv-LV"/>
              </w:rPr>
            </w:pPr>
            <w:r w:rsidRPr="00284429">
              <w:rPr>
                <w:rFonts w:ascii="Times New Roman" w:hAnsi="Times New Roman" w:cs="Times New Roman"/>
              </w:rPr>
              <w:t>1 260 168</w:t>
            </w:r>
          </w:p>
        </w:tc>
        <w:tc>
          <w:tcPr>
            <w:tcW w:w="1276" w:type="dxa"/>
            <w:tcBorders>
              <w:top w:val="single" w:sz="8" w:space="0" w:color="auto"/>
              <w:left w:val="single" w:sz="8" w:space="0" w:color="auto"/>
              <w:bottom w:val="single" w:sz="8" w:space="0" w:color="auto"/>
              <w:right w:val="single" w:sz="8" w:space="0" w:color="auto"/>
            </w:tcBorders>
            <w:shd w:val="clear" w:color="auto" w:fill="auto"/>
            <w:noWrap/>
            <w:hideMark/>
          </w:tcPr>
          <w:p w14:paraId="0DD2A132" w14:textId="0361304C" w:rsidR="003E6326" w:rsidRPr="00284429" w:rsidRDefault="003E6326" w:rsidP="003E6326">
            <w:pPr>
              <w:spacing w:after="0" w:line="240" w:lineRule="auto"/>
              <w:jc w:val="right"/>
              <w:rPr>
                <w:rFonts w:ascii="Times New Roman" w:eastAsia="Times New Roman" w:hAnsi="Times New Roman" w:cs="Times New Roman"/>
                <w:color w:val="000000"/>
                <w:sz w:val="18"/>
                <w:szCs w:val="18"/>
                <w:highlight w:val="yellow"/>
                <w:lang w:eastAsia="lv-LV"/>
              </w:rPr>
            </w:pPr>
            <w:r w:rsidRPr="00284429">
              <w:rPr>
                <w:rFonts w:ascii="Times New Roman" w:hAnsi="Times New Roman" w:cs="Times New Roman"/>
              </w:rPr>
              <w:t>4 024 833</w:t>
            </w:r>
          </w:p>
        </w:tc>
        <w:tc>
          <w:tcPr>
            <w:tcW w:w="1559" w:type="dxa"/>
            <w:tcBorders>
              <w:top w:val="single" w:sz="8" w:space="0" w:color="auto"/>
              <w:left w:val="single" w:sz="8" w:space="0" w:color="auto"/>
              <w:bottom w:val="single" w:sz="8" w:space="0" w:color="auto"/>
              <w:right w:val="single" w:sz="8" w:space="0" w:color="auto"/>
            </w:tcBorders>
            <w:shd w:val="clear" w:color="auto" w:fill="auto"/>
            <w:noWrap/>
            <w:hideMark/>
          </w:tcPr>
          <w:p w14:paraId="647EB981" w14:textId="3DE229B3" w:rsidR="003E6326" w:rsidRPr="00284429" w:rsidRDefault="003E6326" w:rsidP="003E6326">
            <w:pPr>
              <w:spacing w:after="0" w:line="240" w:lineRule="auto"/>
              <w:jc w:val="right"/>
              <w:rPr>
                <w:rFonts w:ascii="Times New Roman" w:eastAsia="Times New Roman" w:hAnsi="Times New Roman" w:cs="Times New Roman"/>
                <w:color w:val="000000"/>
                <w:sz w:val="18"/>
                <w:szCs w:val="18"/>
                <w:highlight w:val="yellow"/>
                <w:lang w:eastAsia="lv-LV"/>
              </w:rPr>
            </w:pPr>
            <w:r w:rsidRPr="00284429">
              <w:rPr>
                <w:rFonts w:ascii="Times New Roman" w:hAnsi="Times New Roman" w:cs="Times New Roman"/>
              </w:rPr>
              <w:t>2 764 665</w:t>
            </w:r>
          </w:p>
        </w:tc>
      </w:tr>
      <w:tr w:rsidR="003E6326" w:rsidRPr="00284429" w14:paraId="40AB9C33" w14:textId="77777777" w:rsidTr="003E6326">
        <w:trPr>
          <w:trHeight w:val="525"/>
        </w:trPr>
        <w:tc>
          <w:tcPr>
            <w:tcW w:w="3403" w:type="dxa"/>
            <w:tcBorders>
              <w:top w:val="single" w:sz="8" w:space="0" w:color="auto"/>
              <w:left w:val="single" w:sz="8" w:space="0" w:color="auto"/>
              <w:bottom w:val="single" w:sz="8" w:space="0" w:color="auto"/>
              <w:right w:val="single" w:sz="8" w:space="0" w:color="auto"/>
            </w:tcBorders>
            <w:shd w:val="clear" w:color="auto" w:fill="auto"/>
            <w:hideMark/>
          </w:tcPr>
          <w:p w14:paraId="447C325B" w14:textId="01168D69" w:rsidR="003E6326" w:rsidRPr="00284429" w:rsidRDefault="003E6326" w:rsidP="003E6326">
            <w:pPr>
              <w:spacing w:after="0" w:line="240" w:lineRule="auto"/>
              <w:rPr>
                <w:rFonts w:ascii="Times New Roman" w:eastAsia="Times New Roman" w:hAnsi="Times New Roman" w:cs="Times New Roman"/>
                <w:color w:val="000000"/>
                <w:sz w:val="20"/>
                <w:szCs w:val="20"/>
                <w:lang w:eastAsia="lv-LV"/>
              </w:rPr>
            </w:pPr>
            <w:r w:rsidRPr="00284429">
              <w:rPr>
                <w:rFonts w:ascii="Times New Roman" w:hAnsi="Times New Roman" w:cs="Times New Roman"/>
              </w:rPr>
              <w:t>Peļņa pirms procentu maksājumiem un nodokļiem (EBIT), EUR</w:t>
            </w:r>
          </w:p>
        </w:tc>
        <w:tc>
          <w:tcPr>
            <w:tcW w:w="1418" w:type="dxa"/>
            <w:tcBorders>
              <w:top w:val="single" w:sz="8" w:space="0" w:color="auto"/>
              <w:left w:val="single" w:sz="8" w:space="0" w:color="auto"/>
              <w:bottom w:val="single" w:sz="8" w:space="0" w:color="auto"/>
              <w:right w:val="single" w:sz="8" w:space="0" w:color="auto"/>
            </w:tcBorders>
            <w:shd w:val="clear" w:color="auto" w:fill="auto"/>
            <w:noWrap/>
            <w:hideMark/>
          </w:tcPr>
          <w:p w14:paraId="6BA49AD5" w14:textId="62DD151F" w:rsidR="003E6326" w:rsidRPr="00284429" w:rsidRDefault="003E6326" w:rsidP="003E6326">
            <w:pPr>
              <w:spacing w:after="0" w:line="240" w:lineRule="auto"/>
              <w:jc w:val="right"/>
              <w:rPr>
                <w:rFonts w:ascii="Times New Roman" w:eastAsia="Times New Roman" w:hAnsi="Times New Roman" w:cs="Times New Roman"/>
                <w:color w:val="000000"/>
                <w:sz w:val="18"/>
                <w:szCs w:val="18"/>
                <w:highlight w:val="yellow"/>
                <w:lang w:eastAsia="lv-LV"/>
              </w:rPr>
            </w:pPr>
            <w:r w:rsidRPr="00284429">
              <w:rPr>
                <w:rFonts w:ascii="Times New Roman" w:hAnsi="Times New Roman" w:cs="Times New Roman"/>
              </w:rPr>
              <w:t>2 351 032</w:t>
            </w:r>
          </w:p>
        </w:tc>
        <w:tc>
          <w:tcPr>
            <w:tcW w:w="1417" w:type="dxa"/>
            <w:tcBorders>
              <w:top w:val="single" w:sz="8" w:space="0" w:color="auto"/>
              <w:left w:val="single" w:sz="8" w:space="0" w:color="auto"/>
              <w:bottom w:val="single" w:sz="8" w:space="0" w:color="auto"/>
              <w:right w:val="single" w:sz="8" w:space="0" w:color="auto"/>
            </w:tcBorders>
            <w:shd w:val="clear" w:color="auto" w:fill="auto"/>
            <w:noWrap/>
            <w:hideMark/>
          </w:tcPr>
          <w:p w14:paraId="24D4CC0D" w14:textId="0CE3710B" w:rsidR="003E6326" w:rsidRPr="00284429" w:rsidRDefault="003E6326" w:rsidP="003E6326">
            <w:pPr>
              <w:spacing w:after="0" w:line="240" w:lineRule="auto"/>
              <w:jc w:val="right"/>
              <w:rPr>
                <w:rFonts w:ascii="Times New Roman" w:eastAsia="Times New Roman" w:hAnsi="Times New Roman" w:cs="Times New Roman"/>
                <w:color w:val="000000"/>
                <w:sz w:val="18"/>
                <w:szCs w:val="18"/>
                <w:highlight w:val="yellow"/>
                <w:lang w:eastAsia="lv-LV"/>
              </w:rPr>
            </w:pPr>
            <w:r w:rsidRPr="00284429">
              <w:rPr>
                <w:rFonts w:ascii="Times New Roman" w:hAnsi="Times New Roman" w:cs="Times New Roman"/>
              </w:rPr>
              <w:t>1 451 396</w:t>
            </w:r>
          </w:p>
        </w:tc>
        <w:tc>
          <w:tcPr>
            <w:tcW w:w="1276" w:type="dxa"/>
            <w:tcBorders>
              <w:top w:val="single" w:sz="8" w:space="0" w:color="auto"/>
              <w:left w:val="single" w:sz="8" w:space="0" w:color="auto"/>
              <w:bottom w:val="single" w:sz="8" w:space="0" w:color="auto"/>
              <w:right w:val="single" w:sz="8" w:space="0" w:color="auto"/>
            </w:tcBorders>
            <w:shd w:val="clear" w:color="auto" w:fill="auto"/>
            <w:noWrap/>
            <w:hideMark/>
          </w:tcPr>
          <w:p w14:paraId="12A4CD24" w14:textId="6832E5A3" w:rsidR="003E6326" w:rsidRPr="00284429" w:rsidRDefault="003E6326" w:rsidP="003E6326">
            <w:pPr>
              <w:spacing w:after="0" w:line="240" w:lineRule="auto"/>
              <w:jc w:val="right"/>
              <w:rPr>
                <w:rFonts w:ascii="Times New Roman" w:eastAsia="Times New Roman" w:hAnsi="Times New Roman" w:cs="Times New Roman"/>
                <w:color w:val="000000"/>
                <w:sz w:val="18"/>
                <w:szCs w:val="18"/>
                <w:highlight w:val="yellow"/>
                <w:lang w:eastAsia="lv-LV"/>
              </w:rPr>
            </w:pPr>
            <w:r w:rsidRPr="00284429">
              <w:rPr>
                <w:rFonts w:ascii="Times New Roman" w:hAnsi="Times New Roman" w:cs="Times New Roman"/>
              </w:rPr>
              <w:t>4 223 365</w:t>
            </w:r>
          </w:p>
        </w:tc>
        <w:tc>
          <w:tcPr>
            <w:tcW w:w="1559" w:type="dxa"/>
            <w:tcBorders>
              <w:top w:val="single" w:sz="8" w:space="0" w:color="auto"/>
              <w:left w:val="single" w:sz="8" w:space="0" w:color="auto"/>
              <w:bottom w:val="single" w:sz="8" w:space="0" w:color="auto"/>
              <w:right w:val="single" w:sz="8" w:space="0" w:color="auto"/>
            </w:tcBorders>
            <w:shd w:val="clear" w:color="auto" w:fill="auto"/>
            <w:noWrap/>
            <w:hideMark/>
          </w:tcPr>
          <w:p w14:paraId="575E9D51" w14:textId="3FFF0DAE" w:rsidR="003E6326" w:rsidRPr="00284429" w:rsidRDefault="003E6326" w:rsidP="003E6326">
            <w:pPr>
              <w:spacing w:after="0" w:line="240" w:lineRule="auto"/>
              <w:jc w:val="right"/>
              <w:rPr>
                <w:rFonts w:ascii="Times New Roman" w:eastAsia="Times New Roman" w:hAnsi="Times New Roman" w:cs="Times New Roman"/>
                <w:color w:val="000000"/>
                <w:sz w:val="18"/>
                <w:szCs w:val="18"/>
                <w:highlight w:val="yellow"/>
                <w:lang w:eastAsia="lv-LV"/>
              </w:rPr>
            </w:pPr>
            <w:r w:rsidRPr="00284429">
              <w:rPr>
                <w:rFonts w:ascii="Times New Roman" w:hAnsi="Times New Roman" w:cs="Times New Roman"/>
              </w:rPr>
              <w:t>2 771 969</w:t>
            </w:r>
          </w:p>
        </w:tc>
      </w:tr>
      <w:tr w:rsidR="003E6326" w:rsidRPr="00284429" w14:paraId="051E1DA8" w14:textId="77777777" w:rsidTr="003E6326">
        <w:trPr>
          <w:trHeight w:val="780"/>
        </w:trPr>
        <w:tc>
          <w:tcPr>
            <w:tcW w:w="3403" w:type="dxa"/>
            <w:tcBorders>
              <w:top w:val="single" w:sz="8" w:space="0" w:color="auto"/>
              <w:left w:val="single" w:sz="8" w:space="0" w:color="auto"/>
              <w:bottom w:val="single" w:sz="8" w:space="0" w:color="auto"/>
              <w:right w:val="single" w:sz="8" w:space="0" w:color="auto"/>
            </w:tcBorders>
            <w:shd w:val="clear" w:color="auto" w:fill="auto"/>
            <w:hideMark/>
          </w:tcPr>
          <w:p w14:paraId="12943336" w14:textId="7B3B94EC" w:rsidR="003E6326" w:rsidRPr="00284429" w:rsidRDefault="003E6326" w:rsidP="003E6326">
            <w:pPr>
              <w:spacing w:after="0" w:line="240" w:lineRule="auto"/>
              <w:rPr>
                <w:rFonts w:ascii="Times New Roman" w:eastAsia="Times New Roman" w:hAnsi="Times New Roman" w:cs="Times New Roman"/>
                <w:color w:val="000000"/>
                <w:sz w:val="20"/>
                <w:szCs w:val="20"/>
                <w:lang w:eastAsia="lv-LV"/>
              </w:rPr>
            </w:pPr>
            <w:r w:rsidRPr="00284429">
              <w:rPr>
                <w:rFonts w:ascii="Times New Roman" w:hAnsi="Times New Roman" w:cs="Times New Roman"/>
              </w:rPr>
              <w:t>Peļņa pirms procentu maksājumiem, nodokļiem, nolietojuma un amortizācijas atskaitījumiem (EBITDA), EUR</w:t>
            </w:r>
          </w:p>
        </w:tc>
        <w:tc>
          <w:tcPr>
            <w:tcW w:w="1418" w:type="dxa"/>
            <w:tcBorders>
              <w:top w:val="single" w:sz="8" w:space="0" w:color="auto"/>
              <w:left w:val="single" w:sz="8" w:space="0" w:color="auto"/>
              <w:bottom w:val="single" w:sz="8" w:space="0" w:color="auto"/>
              <w:right w:val="single" w:sz="8" w:space="0" w:color="auto"/>
            </w:tcBorders>
            <w:shd w:val="clear" w:color="auto" w:fill="auto"/>
            <w:noWrap/>
            <w:hideMark/>
          </w:tcPr>
          <w:p w14:paraId="5A7D5A8F" w14:textId="51B5FBDD" w:rsidR="003E6326" w:rsidRPr="00284429" w:rsidRDefault="003E6326" w:rsidP="003E6326">
            <w:pPr>
              <w:spacing w:after="0" w:line="240" w:lineRule="auto"/>
              <w:jc w:val="right"/>
              <w:rPr>
                <w:rFonts w:ascii="Times New Roman" w:eastAsia="Times New Roman" w:hAnsi="Times New Roman" w:cs="Times New Roman"/>
                <w:color w:val="000000"/>
                <w:sz w:val="18"/>
                <w:szCs w:val="18"/>
                <w:highlight w:val="yellow"/>
                <w:lang w:eastAsia="lv-LV"/>
              </w:rPr>
            </w:pPr>
            <w:r w:rsidRPr="00284429">
              <w:rPr>
                <w:rFonts w:ascii="Times New Roman" w:hAnsi="Times New Roman" w:cs="Times New Roman"/>
              </w:rPr>
              <w:t>2 756 881</w:t>
            </w:r>
          </w:p>
        </w:tc>
        <w:tc>
          <w:tcPr>
            <w:tcW w:w="1417" w:type="dxa"/>
            <w:tcBorders>
              <w:top w:val="single" w:sz="8" w:space="0" w:color="auto"/>
              <w:left w:val="single" w:sz="8" w:space="0" w:color="auto"/>
              <w:bottom w:val="single" w:sz="8" w:space="0" w:color="auto"/>
              <w:right w:val="single" w:sz="8" w:space="0" w:color="auto"/>
            </w:tcBorders>
            <w:shd w:val="clear" w:color="auto" w:fill="auto"/>
            <w:noWrap/>
            <w:hideMark/>
          </w:tcPr>
          <w:p w14:paraId="160805C8" w14:textId="17AE46CE" w:rsidR="003E6326" w:rsidRPr="00284429" w:rsidRDefault="003E6326" w:rsidP="003E6326">
            <w:pPr>
              <w:spacing w:after="0" w:line="240" w:lineRule="auto"/>
              <w:jc w:val="right"/>
              <w:rPr>
                <w:rFonts w:ascii="Times New Roman" w:eastAsia="Times New Roman" w:hAnsi="Times New Roman" w:cs="Times New Roman"/>
                <w:color w:val="000000"/>
                <w:sz w:val="18"/>
                <w:szCs w:val="18"/>
                <w:highlight w:val="yellow"/>
                <w:lang w:eastAsia="lv-LV"/>
              </w:rPr>
            </w:pPr>
            <w:r w:rsidRPr="00284429">
              <w:rPr>
                <w:rFonts w:ascii="Times New Roman" w:hAnsi="Times New Roman" w:cs="Times New Roman"/>
              </w:rPr>
              <w:t>1 964 719</w:t>
            </w:r>
          </w:p>
        </w:tc>
        <w:tc>
          <w:tcPr>
            <w:tcW w:w="1276" w:type="dxa"/>
            <w:tcBorders>
              <w:top w:val="single" w:sz="8" w:space="0" w:color="auto"/>
              <w:left w:val="single" w:sz="8" w:space="0" w:color="auto"/>
              <w:bottom w:val="single" w:sz="8" w:space="0" w:color="auto"/>
              <w:right w:val="single" w:sz="8" w:space="0" w:color="auto"/>
            </w:tcBorders>
            <w:shd w:val="clear" w:color="auto" w:fill="auto"/>
            <w:noWrap/>
            <w:hideMark/>
          </w:tcPr>
          <w:p w14:paraId="4CD2775D" w14:textId="6E1023BD" w:rsidR="003E6326" w:rsidRPr="00284429" w:rsidRDefault="003E6326" w:rsidP="003E6326">
            <w:pPr>
              <w:spacing w:after="0" w:line="240" w:lineRule="auto"/>
              <w:jc w:val="right"/>
              <w:rPr>
                <w:rFonts w:ascii="Times New Roman" w:eastAsia="Times New Roman" w:hAnsi="Times New Roman" w:cs="Times New Roman"/>
                <w:color w:val="000000"/>
                <w:sz w:val="18"/>
                <w:szCs w:val="18"/>
                <w:highlight w:val="yellow"/>
                <w:lang w:eastAsia="lv-LV"/>
              </w:rPr>
            </w:pPr>
            <w:r w:rsidRPr="00284429">
              <w:rPr>
                <w:rFonts w:ascii="Times New Roman" w:hAnsi="Times New Roman" w:cs="Times New Roman"/>
              </w:rPr>
              <w:t>4 689 307</w:t>
            </w:r>
          </w:p>
        </w:tc>
        <w:tc>
          <w:tcPr>
            <w:tcW w:w="1559" w:type="dxa"/>
            <w:tcBorders>
              <w:top w:val="single" w:sz="8" w:space="0" w:color="auto"/>
              <w:left w:val="single" w:sz="8" w:space="0" w:color="auto"/>
              <w:bottom w:val="single" w:sz="8" w:space="0" w:color="auto"/>
              <w:right w:val="single" w:sz="8" w:space="0" w:color="auto"/>
            </w:tcBorders>
            <w:shd w:val="clear" w:color="auto" w:fill="auto"/>
            <w:noWrap/>
            <w:hideMark/>
          </w:tcPr>
          <w:p w14:paraId="4139FCFB" w14:textId="0C0D5E8D" w:rsidR="003E6326" w:rsidRPr="00284429" w:rsidRDefault="003E6326" w:rsidP="003E6326">
            <w:pPr>
              <w:spacing w:after="0" w:line="240" w:lineRule="auto"/>
              <w:jc w:val="right"/>
              <w:rPr>
                <w:rFonts w:ascii="Times New Roman" w:eastAsia="Times New Roman" w:hAnsi="Times New Roman" w:cs="Times New Roman"/>
                <w:color w:val="000000"/>
                <w:sz w:val="18"/>
                <w:szCs w:val="18"/>
                <w:highlight w:val="yellow"/>
                <w:lang w:eastAsia="lv-LV"/>
              </w:rPr>
            </w:pPr>
            <w:r w:rsidRPr="00284429">
              <w:rPr>
                <w:rFonts w:ascii="Times New Roman" w:hAnsi="Times New Roman" w:cs="Times New Roman"/>
              </w:rPr>
              <w:t>2 724 588</w:t>
            </w:r>
          </w:p>
        </w:tc>
      </w:tr>
      <w:tr w:rsidR="003E6326" w:rsidRPr="00284429" w14:paraId="056B45E2" w14:textId="77777777" w:rsidTr="003E6326">
        <w:trPr>
          <w:trHeight w:val="315"/>
        </w:trPr>
        <w:tc>
          <w:tcPr>
            <w:tcW w:w="3403" w:type="dxa"/>
            <w:tcBorders>
              <w:top w:val="single" w:sz="8" w:space="0" w:color="auto"/>
              <w:left w:val="single" w:sz="8" w:space="0" w:color="auto"/>
              <w:bottom w:val="single" w:sz="8" w:space="0" w:color="auto"/>
              <w:right w:val="single" w:sz="8" w:space="0" w:color="auto"/>
            </w:tcBorders>
            <w:shd w:val="clear" w:color="auto" w:fill="auto"/>
            <w:hideMark/>
          </w:tcPr>
          <w:p w14:paraId="6F645E0A" w14:textId="73EDE9C4" w:rsidR="003E6326" w:rsidRPr="00284429" w:rsidRDefault="003E6326" w:rsidP="003E6326">
            <w:pPr>
              <w:spacing w:after="0" w:line="240" w:lineRule="auto"/>
              <w:rPr>
                <w:rFonts w:ascii="Times New Roman" w:eastAsia="Times New Roman" w:hAnsi="Times New Roman" w:cs="Times New Roman"/>
                <w:color w:val="000000"/>
                <w:sz w:val="20"/>
                <w:szCs w:val="20"/>
                <w:lang w:eastAsia="lv-LV"/>
              </w:rPr>
            </w:pPr>
            <w:r w:rsidRPr="00284429">
              <w:rPr>
                <w:rFonts w:ascii="Times New Roman" w:hAnsi="Times New Roman" w:cs="Times New Roman"/>
              </w:rPr>
              <w:t>Bilances kopsumma, EUR</w:t>
            </w:r>
          </w:p>
        </w:tc>
        <w:tc>
          <w:tcPr>
            <w:tcW w:w="1418" w:type="dxa"/>
            <w:tcBorders>
              <w:top w:val="single" w:sz="8" w:space="0" w:color="auto"/>
              <w:left w:val="single" w:sz="8" w:space="0" w:color="auto"/>
              <w:bottom w:val="single" w:sz="8" w:space="0" w:color="auto"/>
              <w:right w:val="single" w:sz="8" w:space="0" w:color="auto"/>
            </w:tcBorders>
            <w:shd w:val="clear" w:color="auto" w:fill="auto"/>
            <w:noWrap/>
            <w:hideMark/>
          </w:tcPr>
          <w:p w14:paraId="7878A5AF" w14:textId="411C0D30" w:rsidR="003E6326" w:rsidRPr="00284429" w:rsidRDefault="003E6326" w:rsidP="003E6326">
            <w:pPr>
              <w:spacing w:after="0" w:line="240" w:lineRule="auto"/>
              <w:jc w:val="right"/>
              <w:rPr>
                <w:rFonts w:ascii="Times New Roman" w:eastAsia="Times New Roman" w:hAnsi="Times New Roman" w:cs="Times New Roman"/>
                <w:color w:val="000000"/>
                <w:sz w:val="18"/>
                <w:szCs w:val="18"/>
                <w:highlight w:val="yellow"/>
                <w:lang w:eastAsia="lv-LV"/>
              </w:rPr>
            </w:pPr>
            <w:r w:rsidRPr="00284429">
              <w:rPr>
                <w:rFonts w:ascii="Times New Roman" w:hAnsi="Times New Roman" w:cs="Times New Roman"/>
              </w:rPr>
              <w:t>403 975 652</w:t>
            </w:r>
          </w:p>
        </w:tc>
        <w:tc>
          <w:tcPr>
            <w:tcW w:w="1417" w:type="dxa"/>
            <w:tcBorders>
              <w:top w:val="single" w:sz="8" w:space="0" w:color="auto"/>
              <w:left w:val="single" w:sz="8" w:space="0" w:color="auto"/>
              <w:bottom w:val="single" w:sz="8" w:space="0" w:color="auto"/>
              <w:right w:val="single" w:sz="8" w:space="0" w:color="auto"/>
            </w:tcBorders>
            <w:shd w:val="clear" w:color="auto" w:fill="auto"/>
            <w:noWrap/>
            <w:hideMark/>
          </w:tcPr>
          <w:p w14:paraId="477914BF" w14:textId="750AADA8" w:rsidR="003E6326" w:rsidRPr="00284429" w:rsidRDefault="003E6326" w:rsidP="003E6326">
            <w:pPr>
              <w:spacing w:after="0" w:line="240" w:lineRule="auto"/>
              <w:jc w:val="right"/>
              <w:rPr>
                <w:rFonts w:ascii="Times New Roman" w:eastAsia="Times New Roman" w:hAnsi="Times New Roman" w:cs="Times New Roman"/>
                <w:color w:val="000000"/>
                <w:sz w:val="18"/>
                <w:szCs w:val="18"/>
                <w:highlight w:val="yellow"/>
                <w:lang w:eastAsia="lv-LV"/>
              </w:rPr>
            </w:pPr>
            <w:r w:rsidRPr="00284429">
              <w:rPr>
                <w:rFonts w:ascii="Times New Roman" w:hAnsi="Times New Roman" w:cs="Times New Roman"/>
              </w:rPr>
              <w:t>500 216 722</w:t>
            </w:r>
          </w:p>
        </w:tc>
        <w:tc>
          <w:tcPr>
            <w:tcW w:w="1276" w:type="dxa"/>
            <w:tcBorders>
              <w:top w:val="single" w:sz="8" w:space="0" w:color="auto"/>
              <w:left w:val="single" w:sz="8" w:space="0" w:color="auto"/>
              <w:bottom w:val="single" w:sz="8" w:space="0" w:color="auto"/>
              <w:right w:val="single" w:sz="8" w:space="0" w:color="auto"/>
            </w:tcBorders>
            <w:shd w:val="clear" w:color="auto" w:fill="auto"/>
            <w:noWrap/>
            <w:hideMark/>
          </w:tcPr>
          <w:p w14:paraId="0B1DCC11" w14:textId="7C21C486" w:rsidR="003E6326" w:rsidRPr="00284429" w:rsidRDefault="003E6326" w:rsidP="003E6326">
            <w:pPr>
              <w:spacing w:after="0" w:line="240" w:lineRule="auto"/>
              <w:jc w:val="right"/>
              <w:rPr>
                <w:rFonts w:ascii="Times New Roman" w:eastAsia="Times New Roman" w:hAnsi="Times New Roman" w:cs="Times New Roman"/>
                <w:color w:val="000000"/>
                <w:sz w:val="18"/>
                <w:szCs w:val="18"/>
                <w:highlight w:val="yellow"/>
                <w:lang w:eastAsia="lv-LV"/>
              </w:rPr>
            </w:pPr>
            <w:r w:rsidRPr="00284429">
              <w:rPr>
                <w:rFonts w:ascii="Times New Roman" w:hAnsi="Times New Roman" w:cs="Times New Roman"/>
              </w:rPr>
              <w:t>439 427 577</w:t>
            </w:r>
          </w:p>
        </w:tc>
        <w:tc>
          <w:tcPr>
            <w:tcW w:w="1559" w:type="dxa"/>
            <w:tcBorders>
              <w:top w:val="single" w:sz="8" w:space="0" w:color="auto"/>
              <w:left w:val="single" w:sz="8" w:space="0" w:color="auto"/>
              <w:bottom w:val="single" w:sz="8" w:space="0" w:color="auto"/>
              <w:right w:val="single" w:sz="8" w:space="0" w:color="auto"/>
            </w:tcBorders>
            <w:shd w:val="clear" w:color="auto" w:fill="auto"/>
            <w:noWrap/>
            <w:hideMark/>
          </w:tcPr>
          <w:p w14:paraId="112A5224" w14:textId="7F36B9B6" w:rsidR="003E6326" w:rsidRPr="00284429" w:rsidRDefault="003E6326" w:rsidP="003E6326">
            <w:pPr>
              <w:spacing w:after="0" w:line="240" w:lineRule="auto"/>
              <w:jc w:val="right"/>
              <w:rPr>
                <w:rFonts w:ascii="Times New Roman" w:eastAsia="Times New Roman" w:hAnsi="Times New Roman" w:cs="Times New Roman"/>
                <w:color w:val="000000"/>
                <w:sz w:val="18"/>
                <w:szCs w:val="18"/>
                <w:highlight w:val="yellow"/>
                <w:lang w:eastAsia="lv-LV"/>
              </w:rPr>
            </w:pPr>
            <w:r w:rsidRPr="00284429">
              <w:rPr>
                <w:rFonts w:ascii="Times New Roman" w:hAnsi="Times New Roman" w:cs="Times New Roman"/>
              </w:rPr>
              <w:t>-60 789 146</w:t>
            </w:r>
          </w:p>
        </w:tc>
      </w:tr>
      <w:tr w:rsidR="003E6326" w:rsidRPr="00284429" w14:paraId="489ACCD7" w14:textId="77777777" w:rsidTr="003E6326">
        <w:trPr>
          <w:trHeight w:val="315"/>
        </w:trPr>
        <w:tc>
          <w:tcPr>
            <w:tcW w:w="3403" w:type="dxa"/>
            <w:tcBorders>
              <w:top w:val="single" w:sz="8" w:space="0" w:color="auto"/>
              <w:left w:val="single" w:sz="8" w:space="0" w:color="auto"/>
              <w:bottom w:val="single" w:sz="8" w:space="0" w:color="auto"/>
              <w:right w:val="single" w:sz="8" w:space="0" w:color="auto"/>
            </w:tcBorders>
            <w:shd w:val="clear" w:color="auto" w:fill="auto"/>
            <w:hideMark/>
          </w:tcPr>
          <w:p w14:paraId="7F64B41B" w14:textId="405D851F" w:rsidR="003E6326" w:rsidRPr="00284429" w:rsidRDefault="003E6326" w:rsidP="003E6326">
            <w:pPr>
              <w:spacing w:after="0" w:line="240" w:lineRule="auto"/>
              <w:rPr>
                <w:rFonts w:ascii="Times New Roman" w:eastAsia="Times New Roman" w:hAnsi="Times New Roman" w:cs="Times New Roman"/>
                <w:color w:val="000000"/>
                <w:sz w:val="20"/>
                <w:szCs w:val="20"/>
                <w:lang w:eastAsia="lv-LV"/>
              </w:rPr>
            </w:pPr>
            <w:r w:rsidRPr="00284429">
              <w:rPr>
                <w:rFonts w:ascii="Times New Roman" w:hAnsi="Times New Roman" w:cs="Times New Roman"/>
              </w:rPr>
              <w:t>Pašu kapitāls, EUR</w:t>
            </w:r>
          </w:p>
        </w:tc>
        <w:tc>
          <w:tcPr>
            <w:tcW w:w="1418" w:type="dxa"/>
            <w:tcBorders>
              <w:top w:val="single" w:sz="8" w:space="0" w:color="auto"/>
              <w:left w:val="single" w:sz="8" w:space="0" w:color="auto"/>
              <w:bottom w:val="single" w:sz="8" w:space="0" w:color="auto"/>
              <w:right w:val="single" w:sz="8" w:space="0" w:color="auto"/>
            </w:tcBorders>
            <w:shd w:val="clear" w:color="auto" w:fill="auto"/>
            <w:noWrap/>
            <w:hideMark/>
          </w:tcPr>
          <w:p w14:paraId="555E7B2D" w14:textId="5B0C2E49" w:rsidR="003E6326" w:rsidRPr="00284429" w:rsidRDefault="003E6326" w:rsidP="003E6326">
            <w:pPr>
              <w:spacing w:after="0" w:line="240" w:lineRule="auto"/>
              <w:jc w:val="right"/>
              <w:rPr>
                <w:rFonts w:ascii="Times New Roman" w:eastAsia="Times New Roman" w:hAnsi="Times New Roman" w:cs="Times New Roman"/>
                <w:color w:val="000000"/>
                <w:sz w:val="18"/>
                <w:szCs w:val="18"/>
                <w:highlight w:val="yellow"/>
                <w:lang w:eastAsia="lv-LV"/>
              </w:rPr>
            </w:pPr>
            <w:r w:rsidRPr="00284429">
              <w:rPr>
                <w:rFonts w:ascii="Times New Roman" w:hAnsi="Times New Roman" w:cs="Times New Roman"/>
              </w:rPr>
              <w:t>201 058 263</w:t>
            </w:r>
          </w:p>
        </w:tc>
        <w:tc>
          <w:tcPr>
            <w:tcW w:w="1417" w:type="dxa"/>
            <w:tcBorders>
              <w:top w:val="single" w:sz="8" w:space="0" w:color="auto"/>
              <w:left w:val="single" w:sz="8" w:space="0" w:color="auto"/>
              <w:bottom w:val="single" w:sz="8" w:space="0" w:color="auto"/>
              <w:right w:val="single" w:sz="8" w:space="0" w:color="auto"/>
            </w:tcBorders>
            <w:shd w:val="clear" w:color="auto" w:fill="auto"/>
            <w:noWrap/>
            <w:hideMark/>
          </w:tcPr>
          <w:p w14:paraId="24A8417E" w14:textId="4957C30A" w:rsidR="003E6326" w:rsidRPr="00284429" w:rsidRDefault="003E6326" w:rsidP="003E6326">
            <w:pPr>
              <w:spacing w:after="0" w:line="240" w:lineRule="auto"/>
              <w:jc w:val="right"/>
              <w:rPr>
                <w:rFonts w:ascii="Times New Roman" w:eastAsia="Times New Roman" w:hAnsi="Times New Roman" w:cs="Times New Roman"/>
                <w:color w:val="000000"/>
                <w:sz w:val="18"/>
                <w:szCs w:val="18"/>
                <w:highlight w:val="yellow"/>
                <w:lang w:eastAsia="lv-LV"/>
              </w:rPr>
            </w:pPr>
            <w:r w:rsidRPr="00284429">
              <w:rPr>
                <w:rFonts w:ascii="Times New Roman" w:hAnsi="Times New Roman" w:cs="Times New Roman"/>
              </w:rPr>
              <w:t>204 579 000</w:t>
            </w:r>
          </w:p>
        </w:tc>
        <w:tc>
          <w:tcPr>
            <w:tcW w:w="1276" w:type="dxa"/>
            <w:tcBorders>
              <w:top w:val="single" w:sz="8" w:space="0" w:color="auto"/>
              <w:left w:val="single" w:sz="8" w:space="0" w:color="auto"/>
              <w:bottom w:val="single" w:sz="8" w:space="0" w:color="auto"/>
              <w:right w:val="single" w:sz="8" w:space="0" w:color="auto"/>
            </w:tcBorders>
            <w:shd w:val="clear" w:color="auto" w:fill="auto"/>
            <w:noWrap/>
            <w:hideMark/>
          </w:tcPr>
          <w:p w14:paraId="65E557F0" w14:textId="6E75E31C" w:rsidR="003E6326" w:rsidRPr="00284429" w:rsidRDefault="003E6326" w:rsidP="003E6326">
            <w:pPr>
              <w:spacing w:after="0" w:line="240" w:lineRule="auto"/>
              <w:jc w:val="right"/>
              <w:rPr>
                <w:rFonts w:ascii="Times New Roman" w:eastAsia="Times New Roman" w:hAnsi="Times New Roman" w:cs="Times New Roman"/>
                <w:color w:val="000000"/>
                <w:sz w:val="18"/>
                <w:szCs w:val="18"/>
                <w:highlight w:val="yellow"/>
                <w:lang w:eastAsia="lv-LV"/>
              </w:rPr>
            </w:pPr>
            <w:r w:rsidRPr="00284429">
              <w:rPr>
                <w:rFonts w:ascii="Times New Roman" w:hAnsi="Times New Roman" w:cs="Times New Roman"/>
              </w:rPr>
              <w:t>211 068 457</w:t>
            </w:r>
          </w:p>
        </w:tc>
        <w:tc>
          <w:tcPr>
            <w:tcW w:w="1559" w:type="dxa"/>
            <w:tcBorders>
              <w:top w:val="single" w:sz="8" w:space="0" w:color="auto"/>
              <w:left w:val="single" w:sz="8" w:space="0" w:color="auto"/>
              <w:bottom w:val="single" w:sz="8" w:space="0" w:color="auto"/>
              <w:right w:val="single" w:sz="8" w:space="0" w:color="auto"/>
            </w:tcBorders>
            <w:shd w:val="clear" w:color="auto" w:fill="auto"/>
            <w:noWrap/>
            <w:hideMark/>
          </w:tcPr>
          <w:p w14:paraId="2A6B71DF" w14:textId="1B62F6DA" w:rsidR="003E6326" w:rsidRPr="00284429" w:rsidRDefault="003E6326" w:rsidP="003E6326">
            <w:pPr>
              <w:spacing w:after="0" w:line="240" w:lineRule="auto"/>
              <w:jc w:val="right"/>
              <w:rPr>
                <w:rFonts w:ascii="Times New Roman" w:eastAsia="Times New Roman" w:hAnsi="Times New Roman" w:cs="Times New Roman"/>
                <w:color w:val="000000"/>
                <w:sz w:val="18"/>
                <w:szCs w:val="18"/>
                <w:highlight w:val="yellow"/>
                <w:lang w:eastAsia="lv-LV"/>
              </w:rPr>
            </w:pPr>
            <w:r w:rsidRPr="00284429">
              <w:rPr>
                <w:rFonts w:ascii="Times New Roman" w:hAnsi="Times New Roman" w:cs="Times New Roman"/>
              </w:rPr>
              <w:t>6 489 457</w:t>
            </w:r>
          </w:p>
        </w:tc>
      </w:tr>
      <w:tr w:rsidR="003E6326" w:rsidRPr="00284429" w14:paraId="5A91F811" w14:textId="77777777" w:rsidTr="003E6326">
        <w:trPr>
          <w:trHeight w:val="315"/>
        </w:trPr>
        <w:tc>
          <w:tcPr>
            <w:tcW w:w="3403" w:type="dxa"/>
            <w:tcBorders>
              <w:top w:val="single" w:sz="8" w:space="0" w:color="auto"/>
              <w:left w:val="single" w:sz="8" w:space="0" w:color="auto"/>
              <w:bottom w:val="single" w:sz="8" w:space="0" w:color="auto"/>
              <w:right w:val="single" w:sz="8" w:space="0" w:color="auto"/>
            </w:tcBorders>
            <w:shd w:val="clear" w:color="auto" w:fill="auto"/>
            <w:hideMark/>
          </w:tcPr>
          <w:p w14:paraId="75B13FA0" w14:textId="5379268A" w:rsidR="003E6326" w:rsidRPr="00284429" w:rsidRDefault="003E6326" w:rsidP="003E6326">
            <w:pPr>
              <w:spacing w:after="0" w:line="240" w:lineRule="auto"/>
              <w:rPr>
                <w:rFonts w:ascii="Times New Roman" w:eastAsia="Times New Roman" w:hAnsi="Times New Roman" w:cs="Times New Roman"/>
                <w:color w:val="000000"/>
                <w:sz w:val="20"/>
                <w:szCs w:val="20"/>
                <w:lang w:eastAsia="lv-LV"/>
              </w:rPr>
            </w:pPr>
            <w:r w:rsidRPr="00284429">
              <w:rPr>
                <w:rFonts w:ascii="Times New Roman" w:hAnsi="Times New Roman" w:cs="Times New Roman"/>
              </w:rPr>
              <w:t xml:space="preserve">Pašu kapitāla </w:t>
            </w:r>
            <w:proofErr w:type="spellStart"/>
            <w:r w:rsidRPr="00284429">
              <w:rPr>
                <w:rFonts w:ascii="Times New Roman" w:hAnsi="Times New Roman" w:cs="Times New Roman"/>
              </w:rPr>
              <w:t>atdeve</w:t>
            </w:r>
            <w:proofErr w:type="spellEnd"/>
            <w:r w:rsidRPr="00284429">
              <w:rPr>
                <w:rFonts w:ascii="Times New Roman" w:hAnsi="Times New Roman" w:cs="Times New Roman"/>
              </w:rPr>
              <w:t xml:space="preserve"> (ROE), %</w:t>
            </w:r>
          </w:p>
        </w:tc>
        <w:tc>
          <w:tcPr>
            <w:tcW w:w="1418" w:type="dxa"/>
            <w:tcBorders>
              <w:top w:val="single" w:sz="8" w:space="0" w:color="auto"/>
              <w:left w:val="single" w:sz="8" w:space="0" w:color="auto"/>
              <w:bottom w:val="single" w:sz="8" w:space="0" w:color="auto"/>
              <w:right w:val="single" w:sz="8" w:space="0" w:color="auto"/>
            </w:tcBorders>
            <w:shd w:val="clear" w:color="auto" w:fill="auto"/>
            <w:noWrap/>
            <w:hideMark/>
          </w:tcPr>
          <w:p w14:paraId="2BE2D011" w14:textId="47D30965" w:rsidR="003E6326" w:rsidRPr="00284429" w:rsidRDefault="003E6326" w:rsidP="003E6326">
            <w:pPr>
              <w:spacing w:after="0" w:line="240" w:lineRule="auto"/>
              <w:jc w:val="right"/>
              <w:rPr>
                <w:rFonts w:ascii="Times New Roman" w:eastAsia="Times New Roman" w:hAnsi="Times New Roman" w:cs="Times New Roman"/>
                <w:color w:val="000000"/>
                <w:sz w:val="18"/>
                <w:szCs w:val="18"/>
                <w:highlight w:val="yellow"/>
                <w:lang w:eastAsia="lv-LV"/>
              </w:rPr>
            </w:pPr>
            <w:r w:rsidRPr="00284429">
              <w:rPr>
                <w:rFonts w:ascii="Times New Roman" w:hAnsi="Times New Roman" w:cs="Times New Roman"/>
              </w:rPr>
              <w:t>1.10%</w:t>
            </w:r>
          </w:p>
        </w:tc>
        <w:tc>
          <w:tcPr>
            <w:tcW w:w="1417" w:type="dxa"/>
            <w:tcBorders>
              <w:top w:val="single" w:sz="8" w:space="0" w:color="auto"/>
              <w:left w:val="single" w:sz="8" w:space="0" w:color="auto"/>
              <w:bottom w:val="single" w:sz="8" w:space="0" w:color="auto"/>
              <w:right w:val="single" w:sz="8" w:space="0" w:color="auto"/>
            </w:tcBorders>
            <w:shd w:val="clear" w:color="auto" w:fill="auto"/>
            <w:noWrap/>
            <w:hideMark/>
          </w:tcPr>
          <w:p w14:paraId="3754E83B" w14:textId="02CEC9D1" w:rsidR="003E6326" w:rsidRPr="00284429" w:rsidRDefault="003E6326" w:rsidP="003E6326">
            <w:pPr>
              <w:spacing w:after="0" w:line="240" w:lineRule="auto"/>
              <w:jc w:val="right"/>
              <w:rPr>
                <w:rFonts w:ascii="Times New Roman" w:eastAsia="Times New Roman" w:hAnsi="Times New Roman" w:cs="Times New Roman"/>
                <w:sz w:val="18"/>
                <w:szCs w:val="18"/>
                <w:highlight w:val="yellow"/>
                <w:lang w:eastAsia="lv-LV"/>
              </w:rPr>
            </w:pPr>
            <w:r w:rsidRPr="00284429">
              <w:rPr>
                <w:rFonts w:ascii="Times New Roman" w:hAnsi="Times New Roman" w:cs="Times New Roman"/>
              </w:rPr>
              <w:t>0.57%</w:t>
            </w:r>
          </w:p>
        </w:tc>
        <w:tc>
          <w:tcPr>
            <w:tcW w:w="1276" w:type="dxa"/>
            <w:tcBorders>
              <w:top w:val="single" w:sz="8" w:space="0" w:color="auto"/>
              <w:left w:val="single" w:sz="8" w:space="0" w:color="auto"/>
              <w:bottom w:val="single" w:sz="8" w:space="0" w:color="auto"/>
              <w:right w:val="single" w:sz="8" w:space="0" w:color="auto"/>
            </w:tcBorders>
            <w:shd w:val="clear" w:color="auto" w:fill="auto"/>
            <w:noWrap/>
            <w:hideMark/>
          </w:tcPr>
          <w:p w14:paraId="4F5DE0EC" w14:textId="5AB26AE8" w:rsidR="003E6326" w:rsidRPr="00284429" w:rsidRDefault="003E6326" w:rsidP="003E6326">
            <w:pPr>
              <w:spacing w:after="0" w:line="240" w:lineRule="auto"/>
              <w:jc w:val="right"/>
              <w:rPr>
                <w:rFonts w:ascii="Times New Roman" w:eastAsia="Times New Roman" w:hAnsi="Times New Roman" w:cs="Times New Roman"/>
                <w:sz w:val="18"/>
                <w:szCs w:val="18"/>
                <w:highlight w:val="yellow"/>
                <w:lang w:eastAsia="lv-LV"/>
              </w:rPr>
            </w:pPr>
            <w:r w:rsidRPr="00284429">
              <w:rPr>
                <w:rFonts w:ascii="Times New Roman" w:hAnsi="Times New Roman" w:cs="Times New Roman"/>
              </w:rPr>
              <w:t>1.91%</w:t>
            </w:r>
          </w:p>
        </w:tc>
        <w:tc>
          <w:tcPr>
            <w:tcW w:w="1559" w:type="dxa"/>
            <w:tcBorders>
              <w:top w:val="single" w:sz="8" w:space="0" w:color="auto"/>
              <w:left w:val="single" w:sz="8" w:space="0" w:color="auto"/>
              <w:bottom w:val="single" w:sz="8" w:space="0" w:color="auto"/>
              <w:right w:val="single" w:sz="8" w:space="0" w:color="auto"/>
            </w:tcBorders>
            <w:shd w:val="clear" w:color="auto" w:fill="auto"/>
            <w:noWrap/>
            <w:hideMark/>
          </w:tcPr>
          <w:p w14:paraId="5F8A8E21" w14:textId="1408F5D4" w:rsidR="003E6326" w:rsidRPr="00284429" w:rsidRDefault="003E6326" w:rsidP="003E6326">
            <w:pPr>
              <w:spacing w:after="0" w:line="240" w:lineRule="auto"/>
              <w:jc w:val="right"/>
              <w:rPr>
                <w:rFonts w:ascii="Times New Roman" w:eastAsia="Times New Roman" w:hAnsi="Times New Roman" w:cs="Times New Roman"/>
                <w:color w:val="000000"/>
                <w:sz w:val="18"/>
                <w:szCs w:val="18"/>
                <w:highlight w:val="yellow"/>
                <w:lang w:eastAsia="lv-LV"/>
              </w:rPr>
            </w:pPr>
            <w:r w:rsidRPr="00284429">
              <w:rPr>
                <w:rFonts w:ascii="Times New Roman" w:hAnsi="Times New Roman" w:cs="Times New Roman"/>
              </w:rPr>
              <w:t>1.33%</w:t>
            </w:r>
          </w:p>
        </w:tc>
      </w:tr>
      <w:tr w:rsidR="003E6326" w:rsidRPr="00284429" w14:paraId="652BFB8D" w14:textId="77777777" w:rsidTr="003E6326">
        <w:trPr>
          <w:trHeight w:val="315"/>
        </w:trPr>
        <w:tc>
          <w:tcPr>
            <w:tcW w:w="3403" w:type="dxa"/>
            <w:tcBorders>
              <w:top w:val="single" w:sz="8" w:space="0" w:color="auto"/>
              <w:left w:val="single" w:sz="8" w:space="0" w:color="auto"/>
              <w:bottom w:val="single" w:sz="8" w:space="0" w:color="auto"/>
              <w:right w:val="single" w:sz="8" w:space="0" w:color="auto"/>
            </w:tcBorders>
            <w:shd w:val="clear" w:color="auto" w:fill="auto"/>
            <w:hideMark/>
          </w:tcPr>
          <w:p w14:paraId="2CE68FED" w14:textId="39CF481D" w:rsidR="003E6326" w:rsidRPr="00284429" w:rsidRDefault="003E6326" w:rsidP="003E6326">
            <w:pPr>
              <w:spacing w:after="0" w:line="240" w:lineRule="auto"/>
              <w:rPr>
                <w:rFonts w:ascii="Times New Roman" w:eastAsia="Times New Roman" w:hAnsi="Times New Roman" w:cs="Times New Roman"/>
                <w:color w:val="000000"/>
                <w:sz w:val="20"/>
                <w:szCs w:val="20"/>
                <w:lang w:eastAsia="lv-LV"/>
              </w:rPr>
            </w:pPr>
            <w:r w:rsidRPr="00284429">
              <w:rPr>
                <w:rFonts w:ascii="Times New Roman" w:hAnsi="Times New Roman" w:cs="Times New Roman"/>
              </w:rPr>
              <w:t xml:space="preserve">Aktīvu </w:t>
            </w:r>
            <w:proofErr w:type="spellStart"/>
            <w:r w:rsidRPr="00284429">
              <w:rPr>
                <w:rFonts w:ascii="Times New Roman" w:hAnsi="Times New Roman" w:cs="Times New Roman"/>
              </w:rPr>
              <w:t>atdeve</w:t>
            </w:r>
            <w:proofErr w:type="spellEnd"/>
            <w:r w:rsidRPr="00284429">
              <w:rPr>
                <w:rFonts w:ascii="Times New Roman" w:hAnsi="Times New Roman" w:cs="Times New Roman"/>
              </w:rPr>
              <w:t xml:space="preserve"> (ROA), %</w:t>
            </w:r>
          </w:p>
        </w:tc>
        <w:tc>
          <w:tcPr>
            <w:tcW w:w="1418" w:type="dxa"/>
            <w:tcBorders>
              <w:top w:val="single" w:sz="8" w:space="0" w:color="auto"/>
              <w:left w:val="single" w:sz="8" w:space="0" w:color="auto"/>
              <w:bottom w:val="single" w:sz="8" w:space="0" w:color="auto"/>
              <w:right w:val="single" w:sz="8" w:space="0" w:color="auto"/>
            </w:tcBorders>
            <w:shd w:val="clear" w:color="auto" w:fill="auto"/>
            <w:noWrap/>
            <w:hideMark/>
          </w:tcPr>
          <w:p w14:paraId="242C3238" w14:textId="22715DC1" w:rsidR="003E6326" w:rsidRPr="00284429" w:rsidRDefault="003E6326" w:rsidP="003E6326">
            <w:pPr>
              <w:spacing w:after="0" w:line="240" w:lineRule="auto"/>
              <w:jc w:val="right"/>
              <w:rPr>
                <w:rFonts w:ascii="Times New Roman" w:eastAsia="Times New Roman" w:hAnsi="Times New Roman" w:cs="Times New Roman"/>
                <w:color w:val="000000"/>
                <w:sz w:val="18"/>
                <w:szCs w:val="18"/>
                <w:highlight w:val="yellow"/>
                <w:lang w:eastAsia="lv-LV"/>
              </w:rPr>
            </w:pPr>
            <w:r w:rsidRPr="00284429">
              <w:rPr>
                <w:rFonts w:ascii="Times New Roman" w:hAnsi="Times New Roman" w:cs="Times New Roman"/>
              </w:rPr>
              <w:t>0.55%</w:t>
            </w:r>
          </w:p>
        </w:tc>
        <w:tc>
          <w:tcPr>
            <w:tcW w:w="1417" w:type="dxa"/>
            <w:tcBorders>
              <w:top w:val="single" w:sz="8" w:space="0" w:color="auto"/>
              <w:left w:val="single" w:sz="8" w:space="0" w:color="auto"/>
              <w:bottom w:val="single" w:sz="8" w:space="0" w:color="auto"/>
              <w:right w:val="single" w:sz="8" w:space="0" w:color="auto"/>
            </w:tcBorders>
            <w:shd w:val="clear" w:color="auto" w:fill="auto"/>
            <w:noWrap/>
            <w:hideMark/>
          </w:tcPr>
          <w:p w14:paraId="4E8F4DE2" w14:textId="4A754D43" w:rsidR="003E6326" w:rsidRPr="00284429" w:rsidRDefault="003E6326" w:rsidP="003E6326">
            <w:pPr>
              <w:spacing w:after="0" w:line="240" w:lineRule="auto"/>
              <w:jc w:val="right"/>
              <w:rPr>
                <w:rFonts w:ascii="Times New Roman" w:eastAsia="Times New Roman" w:hAnsi="Times New Roman" w:cs="Times New Roman"/>
                <w:sz w:val="18"/>
                <w:szCs w:val="18"/>
                <w:highlight w:val="yellow"/>
                <w:lang w:eastAsia="lv-LV"/>
              </w:rPr>
            </w:pPr>
            <w:r w:rsidRPr="00284429">
              <w:rPr>
                <w:rFonts w:ascii="Times New Roman" w:hAnsi="Times New Roman" w:cs="Times New Roman"/>
              </w:rPr>
              <w:t>0.25%</w:t>
            </w:r>
          </w:p>
        </w:tc>
        <w:tc>
          <w:tcPr>
            <w:tcW w:w="1276" w:type="dxa"/>
            <w:tcBorders>
              <w:top w:val="single" w:sz="8" w:space="0" w:color="auto"/>
              <w:left w:val="single" w:sz="8" w:space="0" w:color="auto"/>
              <w:bottom w:val="single" w:sz="8" w:space="0" w:color="auto"/>
              <w:right w:val="single" w:sz="8" w:space="0" w:color="auto"/>
            </w:tcBorders>
            <w:shd w:val="clear" w:color="auto" w:fill="auto"/>
            <w:noWrap/>
            <w:hideMark/>
          </w:tcPr>
          <w:p w14:paraId="6AABB223" w14:textId="5D6DE584" w:rsidR="003E6326" w:rsidRPr="00284429" w:rsidRDefault="003E6326" w:rsidP="003E6326">
            <w:pPr>
              <w:spacing w:after="0" w:line="240" w:lineRule="auto"/>
              <w:jc w:val="right"/>
              <w:rPr>
                <w:rFonts w:ascii="Times New Roman" w:eastAsia="Times New Roman" w:hAnsi="Times New Roman" w:cs="Times New Roman"/>
                <w:sz w:val="18"/>
                <w:szCs w:val="18"/>
                <w:highlight w:val="yellow"/>
                <w:lang w:eastAsia="lv-LV"/>
              </w:rPr>
            </w:pPr>
            <w:r w:rsidRPr="00284429">
              <w:rPr>
                <w:rFonts w:ascii="Times New Roman" w:hAnsi="Times New Roman" w:cs="Times New Roman"/>
              </w:rPr>
              <w:t>0.92%</w:t>
            </w:r>
          </w:p>
        </w:tc>
        <w:tc>
          <w:tcPr>
            <w:tcW w:w="1559" w:type="dxa"/>
            <w:tcBorders>
              <w:top w:val="single" w:sz="8" w:space="0" w:color="auto"/>
              <w:left w:val="single" w:sz="8" w:space="0" w:color="auto"/>
              <w:bottom w:val="single" w:sz="8" w:space="0" w:color="auto"/>
              <w:right w:val="single" w:sz="8" w:space="0" w:color="auto"/>
            </w:tcBorders>
            <w:shd w:val="clear" w:color="auto" w:fill="auto"/>
            <w:noWrap/>
            <w:hideMark/>
          </w:tcPr>
          <w:p w14:paraId="57DDDD27" w14:textId="292B260E" w:rsidR="003E6326" w:rsidRPr="00284429" w:rsidRDefault="003E6326" w:rsidP="003E6326">
            <w:pPr>
              <w:spacing w:after="0" w:line="240" w:lineRule="auto"/>
              <w:jc w:val="right"/>
              <w:rPr>
                <w:rFonts w:ascii="Times New Roman" w:eastAsia="Times New Roman" w:hAnsi="Times New Roman" w:cs="Times New Roman"/>
                <w:color w:val="000000"/>
                <w:sz w:val="18"/>
                <w:szCs w:val="18"/>
                <w:highlight w:val="yellow"/>
                <w:lang w:eastAsia="lv-LV"/>
              </w:rPr>
            </w:pPr>
            <w:r w:rsidRPr="00284429">
              <w:rPr>
                <w:rFonts w:ascii="Times New Roman" w:hAnsi="Times New Roman" w:cs="Times New Roman"/>
              </w:rPr>
              <w:t>0.66%</w:t>
            </w:r>
          </w:p>
        </w:tc>
      </w:tr>
      <w:tr w:rsidR="003E6326" w:rsidRPr="00284429" w14:paraId="5F5130C8" w14:textId="77777777" w:rsidTr="003E6326">
        <w:trPr>
          <w:trHeight w:val="598"/>
        </w:trPr>
        <w:tc>
          <w:tcPr>
            <w:tcW w:w="3403" w:type="dxa"/>
            <w:tcBorders>
              <w:top w:val="single" w:sz="8" w:space="0" w:color="auto"/>
              <w:left w:val="single" w:sz="8" w:space="0" w:color="auto"/>
              <w:bottom w:val="single" w:sz="8" w:space="0" w:color="auto"/>
              <w:right w:val="single" w:sz="8" w:space="0" w:color="auto"/>
            </w:tcBorders>
            <w:shd w:val="clear" w:color="auto" w:fill="auto"/>
            <w:hideMark/>
          </w:tcPr>
          <w:p w14:paraId="635E305B" w14:textId="2B4BC5E1" w:rsidR="003E6326" w:rsidRPr="00284429" w:rsidRDefault="003E6326" w:rsidP="003E6326">
            <w:pPr>
              <w:spacing w:after="0" w:line="240" w:lineRule="auto"/>
              <w:rPr>
                <w:rFonts w:ascii="Times New Roman" w:eastAsia="Times New Roman" w:hAnsi="Times New Roman" w:cs="Times New Roman"/>
                <w:color w:val="000000"/>
                <w:sz w:val="20"/>
                <w:szCs w:val="20"/>
                <w:lang w:eastAsia="lv-LV"/>
              </w:rPr>
            </w:pPr>
            <w:r w:rsidRPr="00284429">
              <w:rPr>
                <w:rFonts w:ascii="Times New Roman" w:hAnsi="Times New Roman" w:cs="Times New Roman"/>
              </w:rPr>
              <w:t>Kopējais likviditātes rādītājs</w:t>
            </w:r>
          </w:p>
        </w:tc>
        <w:tc>
          <w:tcPr>
            <w:tcW w:w="1418" w:type="dxa"/>
            <w:tcBorders>
              <w:top w:val="single" w:sz="8" w:space="0" w:color="auto"/>
              <w:left w:val="single" w:sz="8" w:space="0" w:color="auto"/>
              <w:bottom w:val="single" w:sz="8" w:space="0" w:color="auto"/>
              <w:right w:val="single" w:sz="8" w:space="0" w:color="auto"/>
            </w:tcBorders>
            <w:shd w:val="clear" w:color="auto" w:fill="auto"/>
            <w:noWrap/>
            <w:hideMark/>
          </w:tcPr>
          <w:p w14:paraId="2F71EE9F" w14:textId="4E3D5C8A" w:rsidR="003E6326" w:rsidRPr="00284429" w:rsidRDefault="003E6326" w:rsidP="003E6326">
            <w:pPr>
              <w:spacing w:after="0" w:line="240" w:lineRule="auto"/>
              <w:jc w:val="right"/>
              <w:rPr>
                <w:rFonts w:ascii="Times New Roman" w:eastAsia="Times New Roman" w:hAnsi="Times New Roman" w:cs="Times New Roman"/>
                <w:color w:val="000000"/>
                <w:sz w:val="18"/>
                <w:szCs w:val="18"/>
                <w:highlight w:val="yellow"/>
                <w:lang w:eastAsia="lv-LV"/>
              </w:rPr>
            </w:pPr>
            <w:r w:rsidRPr="00284429">
              <w:rPr>
                <w:rFonts w:ascii="Times New Roman" w:hAnsi="Times New Roman" w:cs="Times New Roman"/>
              </w:rPr>
              <w:t>418%</w:t>
            </w:r>
          </w:p>
        </w:tc>
        <w:tc>
          <w:tcPr>
            <w:tcW w:w="1417" w:type="dxa"/>
            <w:tcBorders>
              <w:top w:val="single" w:sz="8" w:space="0" w:color="auto"/>
              <w:left w:val="single" w:sz="8" w:space="0" w:color="auto"/>
              <w:bottom w:val="single" w:sz="8" w:space="0" w:color="auto"/>
              <w:right w:val="single" w:sz="8" w:space="0" w:color="auto"/>
            </w:tcBorders>
            <w:shd w:val="clear" w:color="auto" w:fill="auto"/>
            <w:hideMark/>
          </w:tcPr>
          <w:p w14:paraId="40DC2241" w14:textId="52C503A0" w:rsidR="003E6326" w:rsidRPr="00284429" w:rsidRDefault="003E6326" w:rsidP="003E6326">
            <w:pPr>
              <w:spacing w:after="0" w:line="240" w:lineRule="auto"/>
              <w:jc w:val="right"/>
              <w:rPr>
                <w:rFonts w:ascii="Times New Roman" w:eastAsia="Times New Roman" w:hAnsi="Times New Roman" w:cs="Times New Roman"/>
                <w:sz w:val="18"/>
                <w:szCs w:val="18"/>
                <w:highlight w:val="yellow"/>
                <w:lang w:eastAsia="lv-LV"/>
              </w:rPr>
            </w:pPr>
            <w:r w:rsidRPr="00284429">
              <w:rPr>
                <w:rFonts w:ascii="Times New Roman" w:hAnsi="Times New Roman" w:cs="Times New Roman"/>
              </w:rPr>
              <w:t>516%;                               limits &gt;=50%</w:t>
            </w:r>
          </w:p>
        </w:tc>
        <w:tc>
          <w:tcPr>
            <w:tcW w:w="1276" w:type="dxa"/>
            <w:tcBorders>
              <w:top w:val="single" w:sz="8" w:space="0" w:color="auto"/>
              <w:left w:val="single" w:sz="8" w:space="0" w:color="auto"/>
              <w:bottom w:val="single" w:sz="8" w:space="0" w:color="auto"/>
              <w:right w:val="single" w:sz="8" w:space="0" w:color="auto"/>
            </w:tcBorders>
            <w:shd w:val="clear" w:color="auto" w:fill="auto"/>
            <w:noWrap/>
            <w:hideMark/>
          </w:tcPr>
          <w:p w14:paraId="581ADEF2" w14:textId="1AD96245" w:rsidR="003E6326" w:rsidRPr="00284429" w:rsidRDefault="003E6326" w:rsidP="003E6326">
            <w:pPr>
              <w:spacing w:after="0" w:line="240" w:lineRule="auto"/>
              <w:jc w:val="right"/>
              <w:rPr>
                <w:rFonts w:ascii="Times New Roman" w:eastAsia="Times New Roman" w:hAnsi="Times New Roman" w:cs="Times New Roman"/>
                <w:sz w:val="18"/>
                <w:szCs w:val="18"/>
                <w:highlight w:val="yellow"/>
                <w:lang w:eastAsia="lv-LV"/>
              </w:rPr>
            </w:pPr>
            <w:r w:rsidRPr="00284429">
              <w:rPr>
                <w:rFonts w:ascii="Times New Roman" w:hAnsi="Times New Roman" w:cs="Times New Roman"/>
              </w:rPr>
              <w:t>620%</w:t>
            </w:r>
          </w:p>
        </w:tc>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19E7C0C2" w14:textId="0E1B3923" w:rsidR="003E6326" w:rsidRPr="00284429" w:rsidRDefault="003E6326" w:rsidP="003E6326">
            <w:pPr>
              <w:spacing w:after="0" w:line="240" w:lineRule="auto"/>
              <w:jc w:val="right"/>
              <w:rPr>
                <w:rFonts w:ascii="Times New Roman" w:eastAsia="Times New Roman" w:hAnsi="Times New Roman" w:cs="Times New Roman"/>
                <w:sz w:val="18"/>
                <w:szCs w:val="18"/>
                <w:highlight w:val="yellow"/>
                <w:lang w:eastAsia="lv-LV"/>
              </w:rPr>
            </w:pPr>
            <w:r w:rsidRPr="00284429">
              <w:rPr>
                <w:rFonts w:ascii="Times New Roman" w:hAnsi="Times New Roman" w:cs="Times New Roman"/>
              </w:rPr>
              <w:t xml:space="preserve">Pret plānoto +104%; pret limitu  +570% </w:t>
            </w:r>
          </w:p>
        </w:tc>
      </w:tr>
      <w:tr w:rsidR="003E6326" w:rsidRPr="00284429" w14:paraId="07979F42" w14:textId="77777777" w:rsidTr="003E6326">
        <w:trPr>
          <w:trHeight w:val="315"/>
        </w:trPr>
        <w:tc>
          <w:tcPr>
            <w:tcW w:w="3403" w:type="dxa"/>
            <w:tcBorders>
              <w:top w:val="single" w:sz="8" w:space="0" w:color="auto"/>
              <w:left w:val="single" w:sz="8" w:space="0" w:color="auto"/>
              <w:bottom w:val="single" w:sz="8" w:space="0" w:color="auto"/>
              <w:right w:val="single" w:sz="8" w:space="0" w:color="auto"/>
            </w:tcBorders>
            <w:shd w:val="clear" w:color="auto" w:fill="auto"/>
            <w:hideMark/>
          </w:tcPr>
          <w:p w14:paraId="48C94E55" w14:textId="4EB78BF0" w:rsidR="003E6326" w:rsidRPr="00284429" w:rsidRDefault="003E6326" w:rsidP="003E6326">
            <w:pPr>
              <w:spacing w:after="0" w:line="240" w:lineRule="auto"/>
              <w:rPr>
                <w:rFonts w:ascii="Times New Roman" w:eastAsia="Times New Roman" w:hAnsi="Times New Roman" w:cs="Times New Roman"/>
                <w:color w:val="000000"/>
                <w:sz w:val="20"/>
                <w:szCs w:val="20"/>
                <w:lang w:eastAsia="lv-LV"/>
              </w:rPr>
            </w:pPr>
            <w:r w:rsidRPr="00284429">
              <w:rPr>
                <w:rFonts w:ascii="Times New Roman" w:hAnsi="Times New Roman" w:cs="Times New Roman"/>
              </w:rPr>
              <w:t>Saistības pret pašu kapitālu, %</w:t>
            </w:r>
          </w:p>
        </w:tc>
        <w:tc>
          <w:tcPr>
            <w:tcW w:w="1418" w:type="dxa"/>
            <w:tcBorders>
              <w:top w:val="single" w:sz="8" w:space="0" w:color="auto"/>
              <w:left w:val="single" w:sz="8" w:space="0" w:color="auto"/>
              <w:bottom w:val="single" w:sz="8" w:space="0" w:color="auto"/>
              <w:right w:val="single" w:sz="8" w:space="0" w:color="auto"/>
            </w:tcBorders>
            <w:shd w:val="clear" w:color="auto" w:fill="auto"/>
            <w:noWrap/>
            <w:hideMark/>
          </w:tcPr>
          <w:p w14:paraId="6DCEFF5F" w14:textId="3EF574F1" w:rsidR="003E6326" w:rsidRPr="00284429" w:rsidRDefault="003E6326" w:rsidP="003E6326">
            <w:pPr>
              <w:spacing w:after="0" w:line="240" w:lineRule="auto"/>
              <w:jc w:val="right"/>
              <w:rPr>
                <w:rFonts w:ascii="Times New Roman" w:eastAsia="Times New Roman" w:hAnsi="Times New Roman" w:cs="Times New Roman"/>
                <w:color w:val="000000"/>
                <w:sz w:val="18"/>
                <w:szCs w:val="18"/>
                <w:highlight w:val="yellow"/>
                <w:lang w:eastAsia="lv-LV"/>
              </w:rPr>
            </w:pPr>
            <w:r w:rsidRPr="00284429">
              <w:rPr>
                <w:rFonts w:ascii="Times New Roman" w:hAnsi="Times New Roman" w:cs="Times New Roman"/>
              </w:rPr>
              <w:t>88%</w:t>
            </w:r>
          </w:p>
        </w:tc>
        <w:tc>
          <w:tcPr>
            <w:tcW w:w="1417" w:type="dxa"/>
            <w:tcBorders>
              <w:top w:val="single" w:sz="8" w:space="0" w:color="auto"/>
              <w:left w:val="single" w:sz="8" w:space="0" w:color="auto"/>
              <w:bottom w:val="single" w:sz="8" w:space="0" w:color="auto"/>
              <w:right w:val="single" w:sz="8" w:space="0" w:color="auto"/>
            </w:tcBorders>
            <w:shd w:val="clear" w:color="auto" w:fill="auto"/>
            <w:noWrap/>
            <w:hideMark/>
          </w:tcPr>
          <w:p w14:paraId="3927E050" w14:textId="6F7EB8EF" w:rsidR="003E6326" w:rsidRPr="00284429" w:rsidRDefault="003E6326" w:rsidP="003E6326">
            <w:pPr>
              <w:spacing w:after="0" w:line="240" w:lineRule="auto"/>
              <w:jc w:val="right"/>
              <w:rPr>
                <w:rFonts w:ascii="Times New Roman" w:eastAsia="Times New Roman" w:hAnsi="Times New Roman" w:cs="Times New Roman"/>
                <w:sz w:val="18"/>
                <w:szCs w:val="18"/>
                <w:highlight w:val="yellow"/>
                <w:lang w:eastAsia="lv-LV"/>
              </w:rPr>
            </w:pPr>
            <w:r w:rsidRPr="00284429">
              <w:rPr>
                <w:rFonts w:ascii="Times New Roman" w:hAnsi="Times New Roman" w:cs="Times New Roman"/>
              </w:rPr>
              <w:t>118%</w:t>
            </w:r>
          </w:p>
        </w:tc>
        <w:tc>
          <w:tcPr>
            <w:tcW w:w="1276" w:type="dxa"/>
            <w:tcBorders>
              <w:top w:val="single" w:sz="8" w:space="0" w:color="auto"/>
              <w:left w:val="single" w:sz="8" w:space="0" w:color="auto"/>
              <w:bottom w:val="single" w:sz="8" w:space="0" w:color="auto"/>
              <w:right w:val="single" w:sz="8" w:space="0" w:color="auto"/>
            </w:tcBorders>
            <w:shd w:val="clear" w:color="auto" w:fill="auto"/>
            <w:noWrap/>
            <w:hideMark/>
          </w:tcPr>
          <w:p w14:paraId="49D54031" w14:textId="168038D5" w:rsidR="003E6326" w:rsidRPr="00284429" w:rsidRDefault="003E6326" w:rsidP="003E6326">
            <w:pPr>
              <w:spacing w:after="0" w:line="240" w:lineRule="auto"/>
              <w:jc w:val="right"/>
              <w:rPr>
                <w:rFonts w:ascii="Times New Roman" w:eastAsia="Times New Roman" w:hAnsi="Times New Roman" w:cs="Times New Roman"/>
                <w:sz w:val="18"/>
                <w:szCs w:val="18"/>
                <w:highlight w:val="yellow"/>
                <w:lang w:eastAsia="lv-LV"/>
              </w:rPr>
            </w:pPr>
            <w:r w:rsidRPr="00284429">
              <w:rPr>
                <w:rFonts w:ascii="Times New Roman" w:hAnsi="Times New Roman" w:cs="Times New Roman"/>
              </w:rPr>
              <w:t>97%</w:t>
            </w:r>
          </w:p>
        </w:tc>
        <w:tc>
          <w:tcPr>
            <w:tcW w:w="1559" w:type="dxa"/>
            <w:tcBorders>
              <w:top w:val="single" w:sz="8" w:space="0" w:color="auto"/>
              <w:left w:val="single" w:sz="8" w:space="0" w:color="auto"/>
              <w:bottom w:val="single" w:sz="8" w:space="0" w:color="auto"/>
              <w:right w:val="single" w:sz="8" w:space="0" w:color="auto"/>
            </w:tcBorders>
            <w:shd w:val="clear" w:color="auto" w:fill="auto"/>
            <w:noWrap/>
            <w:hideMark/>
          </w:tcPr>
          <w:p w14:paraId="150C7D8E" w14:textId="398F968E" w:rsidR="003E6326" w:rsidRPr="00284429" w:rsidRDefault="003E6326" w:rsidP="003E6326">
            <w:pPr>
              <w:spacing w:after="0" w:line="240" w:lineRule="auto"/>
              <w:jc w:val="right"/>
              <w:rPr>
                <w:rFonts w:ascii="Times New Roman" w:eastAsia="Times New Roman" w:hAnsi="Times New Roman" w:cs="Times New Roman"/>
                <w:color w:val="000000"/>
                <w:sz w:val="18"/>
                <w:szCs w:val="18"/>
                <w:highlight w:val="yellow"/>
                <w:lang w:eastAsia="lv-LV"/>
              </w:rPr>
            </w:pPr>
            <w:r w:rsidRPr="00284429">
              <w:rPr>
                <w:rFonts w:ascii="Times New Roman" w:hAnsi="Times New Roman" w:cs="Times New Roman"/>
              </w:rPr>
              <w:t>-21.05%</w:t>
            </w:r>
          </w:p>
        </w:tc>
      </w:tr>
      <w:tr w:rsidR="003E6326" w:rsidRPr="00284429" w14:paraId="3F3B4859" w14:textId="77777777" w:rsidTr="003E6326">
        <w:trPr>
          <w:trHeight w:val="315"/>
        </w:trPr>
        <w:tc>
          <w:tcPr>
            <w:tcW w:w="3403" w:type="dxa"/>
            <w:tcBorders>
              <w:top w:val="single" w:sz="8" w:space="0" w:color="auto"/>
              <w:left w:val="single" w:sz="8" w:space="0" w:color="auto"/>
              <w:bottom w:val="single" w:sz="8" w:space="0" w:color="auto"/>
              <w:right w:val="single" w:sz="8" w:space="0" w:color="auto"/>
            </w:tcBorders>
            <w:shd w:val="clear" w:color="auto" w:fill="auto"/>
            <w:hideMark/>
          </w:tcPr>
          <w:p w14:paraId="5EC5640B" w14:textId="223D88CB" w:rsidR="003E6326" w:rsidRPr="00284429" w:rsidRDefault="003E6326" w:rsidP="003E6326">
            <w:pPr>
              <w:spacing w:after="0" w:line="240" w:lineRule="auto"/>
              <w:rPr>
                <w:rFonts w:ascii="Times New Roman" w:eastAsia="Times New Roman" w:hAnsi="Times New Roman" w:cs="Times New Roman"/>
                <w:color w:val="000000"/>
                <w:sz w:val="20"/>
                <w:szCs w:val="20"/>
                <w:lang w:eastAsia="lv-LV"/>
              </w:rPr>
            </w:pPr>
            <w:r w:rsidRPr="00284429">
              <w:rPr>
                <w:rFonts w:ascii="Times New Roman" w:hAnsi="Times New Roman" w:cs="Times New Roman"/>
              </w:rPr>
              <w:t>Plānotās pamatdarbības naudas plūsmas izpilde, EUR</w:t>
            </w:r>
          </w:p>
        </w:tc>
        <w:tc>
          <w:tcPr>
            <w:tcW w:w="1418" w:type="dxa"/>
            <w:tcBorders>
              <w:top w:val="single" w:sz="8" w:space="0" w:color="auto"/>
              <w:left w:val="single" w:sz="8" w:space="0" w:color="auto"/>
              <w:bottom w:val="single" w:sz="8" w:space="0" w:color="auto"/>
              <w:right w:val="single" w:sz="8" w:space="0" w:color="auto"/>
            </w:tcBorders>
            <w:shd w:val="clear" w:color="auto" w:fill="auto"/>
            <w:noWrap/>
            <w:hideMark/>
          </w:tcPr>
          <w:p w14:paraId="559BD542" w14:textId="2A0590E1" w:rsidR="003E6326" w:rsidRPr="00284429" w:rsidRDefault="003E6326" w:rsidP="003E6326">
            <w:pPr>
              <w:spacing w:after="0" w:line="240" w:lineRule="auto"/>
              <w:jc w:val="right"/>
              <w:rPr>
                <w:rFonts w:ascii="Times New Roman" w:eastAsia="Times New Roman" w:hAnsi="Times New Roman" w:cs="Times New Roman"/>
                <w:color w:val="000000"/>
                <w:sz w:val="18"/>
                <w:szCs w:val="18"/>
                <w:highlight w:val="yellow"/>
                <w:lang w:eastAsia="lv-LV"/>
              </w:rPr>
            </w:pPr>
            <w:r w:rsidRPr="00284429">
              <w:rPr>
                <w:rFonts w:ascii="Times New Roman" w:hAnsi="Times New Roman" w:cs="Times New Roman"/>
              </w:rPr>
              <w:t>46 146 118</w:t>
            </w:r>
          </w:p>
        </w:tc>
        <w:tc>
          <w:tcPr>
            <w:tcW w:w="1417" w:type="dxa"/>
            <w:tcBorders>
              <w:top w:val="single" w:sz="8" w:space="0" w:color="auto"/>
              <w:left w:val="single" w:sz="8" w:space="0" w:color="auto"/>
              <w:bottom w:val="single" w:sz="8" w:space="0" w:color="auto"/>
              <w:right w:val="single" w:sz="8" w:space="0" w:color="auto"/>
            </w:tcBorders>
            <w:shd w:val="clear" w:color="auto" w:fill="auto"/>
            <w:noWrap/>
            <w:hideMark/>
          </w:tcPr>
          <w:p w14:paraId="565127F5" w14:textId="6A36EAFE" w:rsidR="003E6326" w:rsidRPr="00284429" w:rsidRDefault="003E6326" w:rsidP="003E6326">
            <w:pPr>
              <w:spacing w:after="0" w:line="240" w:lineRule="auto"/>
              <w:jc w:val="right"/>
              <w:rPr>
                <w:rFonts w:ascii="Times New Roman" w:eastAsia="Times New Roman" w:hAnsi="Times New Roman" w:cs="Times New Roman"/>
                <w:color w:val="000000"/>
                <w:sz w:val="18"/>
                <w:szCs w:val="18"/>
                <w:highlight w:val="yellow"/>
                <w:lang w:eastAsia="lv-LV"/>
              </w:rPr>
            </w:pPr>
            <w:r w:rsidRPr="00284429">
              <w:rPr>
                <w:rFonts w:ascii="Times New Roman" w:hAnsi="Times New Roman" w:cs="Times New Roman"/>
              </w:rPr>
              <w:t>125 751 279</w:t>
            </w:r>
          </w:p>
        </w:tc>
        <w:tc>
          <w:tcPr>
            <w:tcW w:w="1276" w:type="dxa"/>
            <w:tcBorders>
              <w:top w:val="single" w:sz="8" w:space="0" w:color="auto"/>
              <w:left w:val="single" w:sz="8" w:space="0" w:color="auto"/>
              <w:bottom w:val="single" w:sz="8" w:space="0" w:color="auto"/>
              <w:right w:val="single" w:sz="8" w:space="0" w:color="auto"/>
            </w:tcBorders>
            <w:shd w:val="clear" w:color="auto" w:fill="auto"/>
            <w:noWrap/>
            <w:hideMark/>
          </w:tcPr>
          <w:p w14:paraId="0276B9D3" w14:textId="14F77A7F" w:rsidR="003E6326" w:rsidRPr="00284429" w:rsidRDefault="003E6326" w:rsidP="003E6326">
            <w:pPr>
              <w:spacing w:after="0" w:line="240" w:lineRule="auto"/>
              <w:jc w:val="right"/>
              <w:rPr>
                <w:rFonts w:ascii="Times New Roman" w:eastAsia="Times New Roman" w:hAnsi="Times New Roman" w:cs="Times New Roman"/>
                <w:color w:val="000000"/>
                <w:sz w:val="18"/>
                <w:szCs w:val="18"/>
                <w:highlight w:val="yellow"/>
                <w:lang w:eastAsia="lv-LV"/>
              </w:rPr>
            </w:pPr>
            <w:r w:rsidRPr="00284429">
              <w:rPr>
                <w:rFonts w:ascii="Times New Roman" w:hAnsi="Times New Roman" w:cs="Times New Roman"/>
              </w:rPr>
              <w:t>89 407 985</w:t>
            </w:r>
          </w:p>
        </w:tc>
        <w:tc>
          <w:tcPr>
            <w:tcW w:w="1559" w:type="dxa"/>
            <w:tcBorders>
              <w:top w:val="single" w:sz="8" w:space="0" w:color="auto"/>
              <w:left w:val="single" w:sz="8" w:space="0" w:color="auto"/>
              <w:bottom w:val="single" w:sz="8" w:space="0" w:color="auto"/>
              <w:right w:val="single" w:sz="8" w:space="0" w:color="auto"/>
            </w:tcBorders>
            <w:shd w:val="clear" w:color="auto" w:fill="auto"/>
            <w:noWrap/>
            <w:hideMark/>
          </w:tcPr>
          <w:p w14:paraId="1FC382A2" w14:textId="60B664B3" w:rsidR="003E6326" w:rsidRPr="00284429" w:rsidRDefault="003E6326" w:rsidP="003E6326">
            <w:pPr>
              <w:spacing w:after="0" w:line="240" w:lineRule="auto"/>
              <w:jc w:val="right"/>
              <w:rPr>
                <w:rFonts w:ascii="Times New Roman" w:eastAsia="Times New Roman" w:hAnsi="Times New Roman" w:cs="Times New Roman"/>
                <w:color w:val="000000"/>
                <w:sz w:val="18"/>
                <w:szCs w:val="18"/>
                <w:highlight w:val="yellow"/>
                <w:lang w:eastAsia="lv-LV"/>
              </w:rPr>
            </w:pPr>
            <w:r w:rsidRPr="00284429">
              <w:rPr>
                <w:rFonts w:ascii="Times New Roman" w:hAnsi="Times New Roman" w:cs="Times New Roman"/>
              </w:rPr>
              <w:t>-36 343 294</w:t>
            </w:r>
          </w:p>
        </w:tc>
      </w:tr>
      <w:tr w:rsidR="003E6326" w:rsidRPr="00284429" w14:paraId="6892AADC" w14:textId="77777777" w:rsidTr="003E6326">
        <w:trPr>
          <w:trHeight w:val="315"/>
        </w:trPr>
        <w:tc>
          <w:tcPr>
            <w:tcW w:w="3403" w:type="dxa"/>
            <w:tcBorders>
              <w:top w:val="single" w:sz="8" w:space="0" w:color="auto"/>
              <w:left w:val="single" w:sz="8" w:space="0" w:color="auto"/>
              <w:bottom w:val="single" w:sz="8" w:space="0" w:color="auto"/>
              <w:right w:val="single" w:sz="8" w:space="0" w:color="auto"/>
            </w:tcBorders>
            <w:shd w:val="clear" w:color="auto" w:fill="auto"/>
            <w:hideMark/>
          </w:tcPr>
          <w:p w14:paraId="60535360" w14:textId="12A8EDF9" w:rsidR="003E6326" w:rsidRPr="00284429" w:rsidRDefault="003E6326" w:rsidP="003E6326">
            <w:pPr>
              <w:spacing w:after="0" w:line="240" w:lineRule="auto"/>
              <w:rPr>
                <w:rFonts w:ascii="Times New Roman" w:eastAsia="Times New Roman" w:hAnsi="Times New Roman" w:cs="Times New Roman"/>
                <w:sz w:val="20"/>
                <w:szCs w:val="20"/>
                <w:lang w:eastAsia="lv-LV"/>
              </w:rPr>
            </w:pPr>
            <w:r w:rsidRPr="00284429">
              <w:rPr>
                <w:rFonts w:ascii="Times New Roman" w:hAnsi="Times New Roman" w:cs="Times New Roman"/>
              </w:rPr>
              <w:t>Ieguldījumu pamatlīdzekļos un nemateriālo ieguldījumu plāna izpilde, %</w:t>
            </w:r>
          </w:p>
        </w:tc>
        <w:tc>
          <w:tcPr>
            <w:tcW w:w="1418" w:type="dxa"/>
            <w:tcBorders>
              <w:top w:val="single" w:sz="8" w:space="0" w:color="auto"/>
              <w:left w:val="nil"/>
              <w:bottom w:val="single" w:sz="8" w:space="0" w:color="auto"/>
              <w:right w:val="nil"/>
            </w:tcBorders>
            <w:shd w:val="clear" w:color="auto" w:fill="auto"/>
            <w:noWrap/>
            <w:hideMark/>
          </w:tcPr>
          <w:p w14:paraId="77B269EE" w14:textId="1C206F34" w:rsidR="003E6326" w:rsidRPr="00284429" w:rsidRDefault="003E6326" w:rsidP="003E6326">
            <w:pPr>
              <w:spacing w:after="0" w:line="240" w:lineRule="auto"/>
              <w:jc w:val="right"/>
              <w:rPr>
                <w:rFonts w:ascii="Times New Roman" w:eastAsia="Times New Roman" w:hAnsi="Times New Roman" w:cs="Times New Roman"/>
                <w:color w:val="000000"/>
                <w:sz w:val="18"/>
                <w:szCs w:val="18"/>
                <w:highlight w:val="yellow"/>
                <w:lang w:eastAsia="lv-LV"/>
              </w:rPr>
            </w:pPr>
            <w:r w:rsidRPr="00284429">
              <w:rPr>
                <w:rFonts w:ascii="Times New Roman" w:hAnsi="Times New Roman" w:cs="Times New Roman"/>
              </w:rPr>
              <w:t>4 750 713</w:t>
            </w:r>
          </w:p>
        </w:tc>
        <w:tc>
          <w:tcPr>
            <w:tcW w:w="1417" w:type="dxa"/>
            <w:tcBorders>
              <w:top w:val="single" w:sz="8" w:space="0" w:color="auto"/>
              <w:left w:val="single" w:sz="8" w:space="0" w:color="auto"/>
              <w:bottom w:val="single" w:sz="8" w:space="0" w:color="auto"/>
              <w:right w:val="single" w:sz="8" w:space="0" w:color="auto"/>
            </w:tcBorders>
            <w:shd w:val="clear" w:color="auto" w:fill="auto"/>
            <w:noWrap/>
            <w:hideMark/>
          </w:tcPr>
          <w:p w14:paraId="1296CA6C" w14:textId="549F5556" w:rsidR="003E6326" w:rsidRPr="00284429" w:rsidRDefault="003E6326" w:rsidP="003E6326">
            <w:pPr>
              <w:spacing w:after="0" w:line="240" w:lineRule="auto"/>
              <w:jc w:val="right"/>
              <w:rPr>
                <w:rFonts w:ascii="Times New Roman" w:eastAsia="Times New Roman" w:hAnsi="Times New Roman" w:cs="Times New Roman"/>
                <w:sz w:val="18"/>
                <w:szCs w:val="18"/>
                <w:highlight w:val="yellow"/>
                <w:lang w:eastAsia="lv-LV"/>
              </w:rPr>
            </w:pPr>
            <w:r w:rsidRPr="00284429">
              <w:rPr>
                <w:rFonts w:ascii="Times New Roman" w:hAnsi="Times New Roman" w:cs="Times New Roman"/>
              </w:rPr>
              <w:t>3 801 208</w:t>
            </w:r>
          </w:p>
        </w:tc>
        <w:tc>
          <w:tcPr>
            <w:tcW w:w="1276" w:type="dxa"/>
            <w:tcBorders>
              <w:top w:val="single" w:sz="8" w:space="0" w:color="auto"/>
              <w:left w:val="nil"/>
              <w:bottom w:val="single" w:sz="8" w:space="0" w:color="auto"/>
              <w:right w:val="single" w:sz="8" w:space="0" w:color="auto"/>
            </w:tcBorders>
            <w:shd w:val="clear" w:color="auto" w:fill="auto"/>
            <w:noWrap/>
            <w:hideMark/>
          </w:tcPr>
          <w:p w14:paraId="3DE0478F" w14:textId="45B981A0" w:rsidR="003E6326" w:rsidRPr="00284429" w:rsidRDefault="003E6326" w:rsidP="003E6326">
            <w:pPr>
              <w:spacing w:after="0" w:line="240" w:lineRule="auto"/>
              <w:jc w:val="right"/>
              <w:rPr>
                <w:rFonts w:ascii="Times New Roman" w:eastAsia="Times New Roman" w:hAnsi="Times New Roman" w:cs="Times New Roman"/>
                <w:color w:val="000000"/>
                <w:sz w:val="18"/>
                <w:szCs w:val="18"/>
                <w:highlight w:val="yellow"/>
                <w:lang w:eastAsia="lv-LV"/>
              </w:rPr>
            </w:pPr>
            <w:r w:rsidRPr="00284429">
              <w:rPr>
                <w:rFonts w:ascii="Times New Roman" w:hAnsi="Times New Roman" w:cs="Times New Roman"/>
              </w:rPr>
              <w:t>3 676 040</w:t>
            </w:r>
          </w:p>
        </w:tc>
        <w:tc>
          <w:tcPr>
            <w:tcW w:w="1559" w:type="dxa"/>
            <w:tcBorders>
              <w:top w:val="single" w:sz="8" w:space="0" w:color="auto"/>
              <w:left w:val="nil"/>
              <w:bottom w:val="single" w:sz="8" w:space="0" w:color="auto"/>
              <w:right w:val="single" w:sz="8" w:space="0" w:color="auto"/>
            </w:tcBorders>
            <w:shd w:val="clear" w:color="auto" w:fill="auto"/>
            <w:noWrap/>
            <w:hideMark/>
          </w:tcPr>
          <w:p w14:paraId="602606DF" w14:textId="60C7C567" w:rsidR="003E6326" w:rsidRPr="00284429" w:rsidRDefault="003E6326" w:rsidP="003E6326">
            <w:pPr>
              <w:spacing w:after="0" w:line="240" w:lineRule="auto"/>
              <w:jc w:val="right"/>
              <w:rPr>
                <w:rFonts w:ascii="Times New Roman" w:eastAsia="Times New Roman" w:hAnsi="Times New Roman" w:cs="Times New Roman"/>
                <w:color w:val="000000"/>
                <w:sz w:val="18"/>
                <w:szCs w:val="18"/>
                <w:highlight w:val="yellow"/>
                <w:lang w:eastAsia="lv-LV"/>
              </w:rPr>
            </w:pPr>
            <w:r w:rsidRPr="00284429">
              <w:rPr>
                <w:rFonts w:ascii="Times New Roman" w:hAnsi="Times New Roman" w:cs="Times New Roman"/>
              </w:rPr>
              <w:t>-3.29%</w:t>
            </w:r>
          </w:p>
        </w:tc>
      </w:tr>
      <w:tr w:rsidR="003E6326" w:rsidRPr="00284429" w14:paraId="2CE324E2" w14:textId="77777777" w:rsidTr="003E6326">
        <w:trPr>
          <w:trHeight w:val="525"/>
        </w:trPr>
        <w:tc>
          <w:tcPr>
            <w:tcW w:w="3403" w:type="dxa"/>
            <w:tcBorders>
              <w:top w:val="single" w:sz="8" w:space="0" w:color="auto"/>
              <w:left w:val="single" w:sz="8" w:space="0" w:color="auto"/>
              <w:bottom w:val="single" w:sz="8" w:space="0" w:color="auto"/>
              <w:right w:val="single" w:sz="8" w:space="0" w:color="auto"/>
            </w:tcBorders>
            <w:shd w:val="clear" w:color="auto" w:fill="auto"/>
            <w:hideMark/>
          </w:tcPr>
          <w:p w14:paraId="5DB1994E" w14:textId="1B72682B" w:rsidR="003E6326" w:rsidRPr="00284429" w:rsidRDefault="003E6326" w:rsidP="003E6326">
            <w:pPr>
              <w:spacing w:after="0" w:line="240" w:lineRule="auto"/>
              <w:rPr>
                <w:rFonts w:ascii="Times New Roman" w:eastAsia="Times New Roman" w:hAnsi="Times New Roman" w:cs="Times New Roman"/>
                <w:sz w:val="20"/>
                <w:szCs w:val="20"/>
                <w:lang w:eastAsia="lv-LV"/>
              </w:rPr>
            </w:pPr>
            <w:r w:rsidRPr="00284429">
              <w:rPr>
                <w:rFonts w:ascii="Times New Roman" w:hAnsi="Times New Roman" w:cs="Times New Roman"/>
              </w:rPr>
              <w:t>Neto apgrozījums, EUR</w:t>
            </w:r>
          </w:p>
        </w:tc>
        <w:tc>
          <w:tcPr>
            <w:tcW w:w="1418" w:type="dxa"/>
            <w:tcBorders>
              <w:top w:val="single" w:sz="8" w:space="0" w:color="auto"/>
              <w:left w:val="nil"/>
              <w:bottom w:val="single" w:sz="8" w:space="0" w:color="auto"/>
              <w:right w:val="single" w:sz="8" w:space="0" w:color="auto"/>
            </w:tcBorders>
            <w:shd w:val="clear" w:color="auto" w:fill="auto"/>
            <w:noWrap/>
            <w:hideMark/>
          </w:tcPr>
          <w:p w14:paraId="015327F2" w14:textId="668B8DD1" w:rsidR="003E6326" w:rsidRPr="00284429" w:rsidRDefault="003E6326" w:rsidP="003E6326">
            <w:pPr>
              <w:spacing w:after="0" w:line="240" w:lineRule="auto"/>
              <w:jc w:val="right"/>
              <w:rPr>
                <w:rFonts w:ascii="Times New Roman" w:eastAsia="Times New Roman" w:hAnsi="Times New Roman" w:cs="Times New Roman"/>
                <w:color w:val="000000"/>
                <w:sz w:val="18"/>
                <w:szCs w:val="18"/>
                <w:highlight w:val="yellow"/>
                <w:lang w:eastAsia="lv-LV"/>
              </w:rPr>
            </w:pPr>
            <w:r w:rsidRPr="00284429">
              <w:rPr>
                <w:rFonts w:ascii="Times New Roman" w:hAnsi="Times New Roman" w:cs="Times New Roman"/>
              </w:rPr>
              <w:t>11 126 719</w:t>
            </w:r>
          </w:p>
        </w:tc>
        <w:tc>
          <w:tcPr>
            <w:tcW w:w="1417" w:type="dxa"/>
            <w:tcBorders>
              <w:top w:val="single" w:sz="8" w:space="0" w:color="auto"/>
              <w:left w:val="nil"/>
              <w:bottom w:val="single" w:sz="8" w:space="0" w:color="auto"/>
              <w:right w:val="single" w:sz="8" w:space="0" w:color="auto"/>
            </w:tcBorders>
            <w:shd w:val="clear" w:color="auto" w:fill="auto"/>
            <w:noWrap/>
            <w:hideMark/>
          </w:tcPr>
          <w:p w14:paraId="6E3023E3" w14:textId="4AC610E3" w:rsidR="003E6326" w:rsidRPr="00284429" w:rsidRDefault="003E6326" w:rsidP="003E6326">
            <w:pPr>
              <w:spacing w:after="0" w:line="240" w:lineRule="auto"/>
              <w:jc w:val="right"/>
              <w:rPr>
                <w:rFonts w:ascii="Times New Roman" w:eastAsia="Times New Roman" w:hAnsi="Times New Roman" w:cs="Times New Roman"/>
                <w:sz w:val="18"/>
                <w:szCs w:val="18"/>
                <w:highlight w:val="yellow"/>
                <w:lang w:eastAsia="lv-LV"/>
              </w:rPr>
            </w:pPr>
            <w:r w:rsidRPr="00284429">
              <w:rPr>
                <w:rFonts w:ascii="Times New Roman" w:hAnsi="Times New Roman" w:cs="Times New Roman"/>
              </w:rPr>
              <w:t>16 296 581</w:t>
            </w:r>
          </w:p>
        </w:tc>
        <w:tc>
          <w:tcPr>
            <w:tcW w:w="1276" w:type="dxa"/>
            <w:tcBorders>
              <w:top w:val="single" w:sz="8" w:space="0" w:color="auto"/>
              <w:left w:val="nil"/>
              <w:bottom w:val="single" w:sz="8" w:space="0" w:color="auto"/>
              <w:right w:val="single" w:sz="8" w:space="0" w:color="auto"/>
            </w:tcBorders>
            <w:shd w:val="clear" w:color="auto" w:fill="auto"/>
            <w:noWrap/>
            <w:hideMark/>
          </w:tcPr>
          <w:p w14:paraId="47DDA56A" w14:textId="4E4644F1" w:rsidR="003E6326" w:rsidRPr="00284429" w:rsidRDefault="003E6326" w:rsidP="003E6326">
            <w:pPr>
              <w:spacing w:after="0" w:line="240" w:lineRule="auto"/>
              <w:jc w:val="right"/>
              <w:rPr>
                <w:rFonts w:ascii="Times New Roman" w:eastAsia="Times New Roman" w:hAnsi="Times New Roman" w:cs="Times New Roman"/>
                <w:sz w:val="18"/>
                <w:szCs w:val="18"/>
                <w:highlight w:val="yellow"/>
                <w:lang w:eastAsia="lv-LV"/>
              </w:rPr>
            </w:pPr>
            <w:r w:rsidRPr="00284429">
              <w:rPr>
                <w:rFonts w:ascii="Times New Roman" w:hAnsi="Times New Roman" w:cs="Times New Roman"/>
              </w:rPr>
              <w:t>14 123 687</w:t>
            </w:r>
          </w:p>
        </w:tc>
        <w:tc>
          <w:tcPr>
            <w:tcW w:w="1559" w:type="dxa"/>
            <w:tcBorders>
              <w:top w:val="single" w:sz="8" w:space="0" w:color="auto"/>
              <w:left w:val="nil"/>
              <w:bottom w:val="single" w:sz="8" w:space="0" w:color="auto"/>
              <w:right w:val="single" w:sz="8" w:space="0" w:color="auto"/>
            </w:tcBorders>
            <w:shd w:val="clear" w:color="auto" w:fill="auto"/>
            <w:noWrap/>
            <w:hideMark/>
          </w:tcPr>
          <w:p w14:paraId="1D1FB2BE" w14:textId="50623ED9" w:rsidR="003E6326" w:rsidRPr="00284429" w:rsidRDefault="003E6326" w:rsidP="003E6326">
            <w:pPr>
              <w:spacing w:after="0" w:line="240" w:lineRule="auto"/>
              <w:jc w:val="right"/>
              <w:rPr>
                <w:rFonts w:ascii="Times New Roman" w:eastAsia="Times New Roman" w:hAnsi="Times New Roman" w:cs="Times New Roman"/>
                <w:color w:val="000000"/>
                <w:sz w:val="18"/>
                <w:szCs w:val="18"/>
                <w:highlight w:val="yellow"/>
                <w:lang w:eastAsia="lv-LV"/>
              </w:rPr>
            </w:pPr>
            <w:r w:rsidRPr="00284429">
              <w:rPr>
                <w:rFonts w:ascii="Times New Roman" w:hAnsi="Times New Roman" w:cs="Times New Roman"/>
              </w:rPr>
              <w:t>-2 172 894</w:t>
            </w:r>
          </w:p>
        </w:tc>
      </w:tr>
      <w:tr w:rsidR="003E6326" w:rsidRPr="00284429" w14:paraId="11E7535E" w14:textId="77777777" w:rsidTr="003E6326">
        <w:trPr>
          <w:trHeight w:val="315"/>
        </w:trPr>
        <w:tc>
          <w:tcPr>
            <w:tcW w:w="3403" w:type="dxa"/>
            <w:tcBorders>
              <w:top w:val="single" w:sz="8" w:space="0" w:color="auto"/>
              <w:left w:val="single" w:sz="8" w:space="0" w:color="auto"/>
              <w:bottom w:val="single" w:sz="8" w:space="0" w:color="auto"/>
              <w:right w:val="single" w:sz="8" w:space="0" w:color="auto"/>
            </w:tcBorders>
            <w:shd w:val="clear" w:color="auto" w:fill="auto"/>
            <w:hideMark/>
          </w:tcPr>
          <w:p w14:paraId="210AB4F1" w14:textId="1C6A7893" w:rsidR="003E6326" w:rsidRPr="00284429" w:rsidRDefault="003E6326" w:rsidP="003E6326">
            <w:pPr>
              <w:spacing w:after="0" w:line="240" w:lineRule="auto"/>
              <w:rPr>
                <w:rFonts w:ascii="Times New Roman" w:eastAsia="Times New Roman" w:hAnsi="Times New Roman" w:cs="Times New Roman"/>
                <w:sz w:val="20"/>
                <w:szCs w:val="20"/>
                <w:lang w:eastAsia="lv-LV"/>
              </w:rPr>
            </w:pPr>
            <w:r w:rsidRPr="00284429">
              <w:rPr>
                <w:rFonts w:ascii="Times New Roman" w:hAnsi="Times New Roman" w:cs="Times New Roman"/>
              </w:rPr>
              <w:t>Peļņa, EUR</w:t>
            </w:r>
          </w:p>
        </w:tc>
        <w:tc>
          <w:tcPr>
            <w:tcW w:w="1418" w:type="dxa"/>
            <w:tcBorders>
              <w:top w:val="single" w:sz="8" w:space="0" w:color="auto"/>
              <w:left w:val="nil"/>
              <w:bottom w:val="single" w:sz="8" w:space="0" w:color="auto"/>
              <w:right w:val="single" w:sz="8" w:space="0" w:color="auto"/>
            </w:tcBorders>
            <w:shd w:val="clear" w:color="auto" w:fill="auto"/>
            <w:noWrap/>
            <w:hideMark/>
          </w:tcPr>
          <w:p w14:paraId="32CC35ED" w14:textId="1252FF7F" w:rsidR="003E6326" w:rsidRPr="00284429" w:rsidRDefault="003E6326" w:rsidP="003E6326">
            <w:pPr>
              <w:spacing w:after="0" w:line="240" w:lineRule="auto"/>
              <w:jc w:val="right"/>
              <w:rPr>
                <w:rFonts w:ascii="Times New Roman" w:eastAsia="Times New Roman" w:hAnsi="Times New Roman" w:cs="Times New Roman"/>
                <w:color w:val="000000"/>
                <w:sz w:val="18"/>
                <w:szCs w:val="18"/>
                <w:highlight w:val="yellow"/>
                <w:lang w:eastAsia="lv-LV"/>
              </w:rPr>
            </w:pPr>
            <w:r w:rsidRPr="00284429">
              <w:rPr>
                <w:rFonts w:ascii="Times New Roman" w:hAnsi="Times New Roman" w:cs="Times New Roman"/>
              </w:rPr>
              <w:t>2 208 249</w:t>
            </w:r>
          </w:p>
        </w:tc>
        <w:tc>
          <w:tcPr>
            <w:tcW w:w="1417" w:type="dxa"/>
            <w:tcBorders>
              <w:top w:val="single" w:sz="8" w:space="0" w:color="auto"/>
              <w:left w:val="nil"/>
              <w:bottom w:val="single" w:sz="8" w:space="0" w:color="auto"/>
              <w:right w:val="single" w:sz="8" w:space="0" w:color="auto"/>
            </w:tcBorders>
            <w:shd w:val="clear" w:color="auto" w:fill="auto"/>
            <w:noWrap/>
            <w:hideMark/>
          </w:tcPr>
          <w:p w14:paraId="5F3D9DA9" w14:textId="1869E139" w:rsidR="003E6326" w:rsidRPr="00284429" w:rsidRDefault="003E6326" w:rsidP="003E6326">
            <w:pPr>
              <w:spacing w:after="0" w:line="240" w:lineRule="auto"/>
              <w:jc w:val="right"/>
              <w:rPr>
                <w:rFonts w:ascii="Times New Roman" w:eastAsia="Times New Roman" w:hAnsi="Times New Roman" w:cs="Times New Roman"/>
                <w:sz w:val="18"/>
                <w:szCs w:val="18"/>
                <w:highlight w:val="yellow"/>
                <w:lang w:eastAsia="lv-LV"/>
              </w:rPr>
            </w:pPr>
            <w:r w:rsidRPr="00284429">
              <w:rPr>
                <w:rFonts w:ascii="Times New Roman" w:hAnsi="Times New Roman" w:cs="Times New Roman"/>
              </w:rPr>
              <w:t>1 260 168</w:t>
            </w:r>
          </w:p>
        </w:tc>
        <w:tc>
          <w:tcPr>
            <w:tcW w:w="1276" w:type="dxa"/>
            <w:tcBorders>
              <w:top w:val="single" w:sz="8" w:space="0" w:color="auto"/>
              <w:left w:val="nil"/>
              <w:bottom w:val="single" w:sz="8" w:space="0" w:color="auto"/>
              <w:right w:val="single" w:sz="8" w:space="0" w:color="auto"/>
            </w:tcBorders>
            <w:shd w:val="clear" w:color="auto" w:fill="auto"/>
            <w:noWrap/>
            <w:hideMark/>
          </w:tcPr>
          <w:p w14:paraId="59D6510E" w14:textId="51182AE6" w:rsidR="003E6326" w:rsidRPr="00284429" w:rsidRDefault="003E6326" w:rsidP="003E6326">
            <w:pPr>
              <w:spacing w:after="0" w:line="240" w:lineRule="auto"/>
              <w:jc w:val="right"/>
              <w:rPr>
                <w:rFonts w:ascii="Times New Roman" w:eastAsia="Times New Roman" w:hAnsi="Times New Roman" w:cs="Times New Roman"/>
                <w:sz w:val="18"/>
                <w:szCs w:val="18"/>
                <w:highlight w:val="yellow"/>
                <w:lang w:eastAsia="lv-LV"/>
              </w:rPr>
            </w:pPr>
            <w:r w:rsidRPr="00284429">
              <w:rPr>
                <w:rFonts w:ascii="Times New Roman" w:hAnsi="Times New Roman" w:cs="Times New Roman"/>
              </w:rPr>
              <w:t>4 024 833</w:t>
            </w:r>
          </w:p>
        </w:tc>
        <w:tc>
          <w:tcPr>
            <w:tcW w:w="1559" w:type="dxa"/>
            <w:tcBorders>
              <w:top w:val="single" w:sz="8" w:space="0" w:color="auto"/>
              <w:left w:val="nil"/>
              <w:bottom w:val="single" w:sz="8" w:space="0" w:color="auto"/>
              <w:right w:val="single" w:sz="8" w:space="0" w:color="auto"/>
            </w:tcBorders>
            <w:shd w:val="clear" w:color="auto" w:fill="auto"/>
            <w:noWrap/>
            <w:hideMark/>
          </w:tcPr>
          <w:p w14:paraId="0DF07F2C" w14:textId="58986F05" w:rsidR="003E6326" w:rsidRPr="00284429" w:rsidRDefault="003E6326" w:rsidP="003E6326">
            <w:pPr>
              <w:spacing w:after="0" w:line="240" w:lineRule="auto"/>
              <w:jc w:val="right"/>
              <w:rPr>
                <w:rFonts w:ascii="Times New Roman" w:eastAsia="Times New Roman" w:hAnsi="Times New Roman" w:cs="Times New Roman"/>
                <w:color w:val="000000"/>
                <w:sz w:val="18"/>
                <w:szCs w:val="18"/>
                <w:highlight w:val="yellow"/>
                <w:lang w:eastAsia="lv-LV"/>
              </w:rPr>
            </w:pPr>
            <w:r w:rsidRPr="00284429">
              <w:rPr>
                <w:rFonts w:ascii="Times New Roman" w:hAnsi="Times New Roman" w:cs="Times New Roman"/>
              </w:rPr>
              <w:t>2 764 665</w:t>
            </w:r>
          </w:p>
        </w:tc>
      </w:tr>
      <w:tr w:rsidR="003E6326" w:rsidRPr="00284429" w14:paraId="7468F5A4" w14:textId="77777777" w:rsidTr="003E6326">
        <w:trPr>
          <w:trHeight w:val="540"/>
        </w:trPr>
        <w:tc>
          <w:tcPr>
            <w:tcW w:w="3403" w:type="dxa"/>
            <w:tcBorders>
              <w:top w:val="single" w:sz="8" w:space="0" w:color="auto"/>
              <w:left w:val="single" w:sz="8" w:space="0" w:color="auto"/>
              <w:bottom w:val="single" w:sz="8" w:space="0" w:color="auto"/>
              <w:right w:val="single" w:sz="8" w:space="0" w:color="auto"/>
            </w:tcBorders>
            <w:shd w:val="clear" w:color="auto" w:fill="auto"/>
            <w:hideMark/>
          </w:tcPr>
          <w:p w14:paraId="7275E7C8" w14:textId="604065C0" w:rsidR="003E6326" w:rsidRPr="00284429" w:rsidRDefault="003E6326" w:rsidP="003E6326">
            <w:pPr>
              <w:spacing w:after="0" w:line="240" w:lineRule="auto"/>
              <w:rPr>
                <w:rFonts w:ascii="Times New Roman" w:eastAsia="Times New Roman" w:hAnsi="Times New Roman" w:cs="Times New Roman"/>
                <w:sz w:val="20"/>
                <w:szCs w:val="20"/>
                <w:lang w:eastAsia="lv-LV"/>
              </w:rPr>
            </w:pPr>
            <w:r w:rsidRPr="00284429">
              <w:rPr>
                <w:rFonts w:ascii="Times New Roman" w:hAnsi="Times New Roman" w:cs="Times New Roman"/>
              </w:rPr>
              <w:t>Peļņa pirms procentu maksājumiem un nodokļiem (EBIT), EUR</w:t>
            </w:r>
          </w:p>
        </w:tc>
        <w:tc>
          <w:tcPr>
            <w:tcW w:w="1418" w:type="dxa"/>
            <w:tcBorders>
              <w:top w:val="single" w:sz="8" w:space="0" w:color="auto"/>
              <w:left w:val="nil"/>
              <w:bottom w:val="single" w:sz="8" w:space="0" w:color="auto"/>
              <w:right w:val="nil"/>
            </w:tcBorders>
            <w:shd w:val="clear" w:color="auto" w:fill="auto"/>
            <w:noWrap/>
            <w:hideMark/>
          </w:tcPr>
          <w:p w14:paraId="3049CB0F" w14:textId="225ADBBB" w:rsidR="003E6326" w:rsidRPr="00284429" w:rsidRDefault="003E6326" w:rsidP="003E6326">
            <w:pPr>
              <w:spacing w:after="0" w:line="240" w:lineRule="auto"/>
              <w:jc w:val="right"/>
              <w:rPr>
                <w:rFonts w:ascii="Times New Roman" w:eastAsia="Times New Roman" w:hAnsi="Times New Roman" w:cs="Times New Roman"/>
                <w:color w:val="000000"/>
                <w:sz w:val="18"/>
                <w:szCs w:val="18"/>
                <w:highlight w:val="yellow"/>
                <w:lang w:eastAsia="lv-LV"/>
              </w:rPr>
            </w:pPr>
            <w:r w:rsidRPr="00284429">
              <w:rPr>
                <w:rFonts w:ascii="Times New Roman" w:hAnsi="Times New Roman" w:cs="Times New Roman"/>
              </w:rPr>
              <w:t>2 351 032</w:t>
            </w:r>
          </w:p>
        </w:tc>
        <w:tc>
          <w:tcPr>
            <w:tcW w:w="1417" w:type="dxa"/>
            <w:tcBorders>
              <w:top w:val="single" w:sz="8" w:space="0" w:color="auto"/>
              <w:left w:val="single" w:sz="8" w:space="0" w:color="auto"/>
              <w:bottom w:val="single" w:sz="8" w:space="0" w:color="auto"/>
              <w:right w:val="single" w:sz="8" w:space="0" w:color="auto"/>
            </w:tcBorders>
            <w:shd w:val="clear" w:color="auto" w:fill="auto"/>
            <w:noWrap/>
            <w:hideMark/>
          </w:tcPr>
          <w:p w14:paraId="19FFCB67" w14:textId="7AC3C360" w:rsidR="003E6326" w:rsidRPr="00284429" w:rsidRDefault="003E6326" w:rsidP="003E6326">
            <w:pPr>
              <w:spacing w:after="0" w:line="240" w:lineRule="auto"/>
              <w:jc w:val="right"/>
              <w:rPr>
                <w:rFonts w:ascii="Times New Roman" w:eastAsia="Times New Roman" w:hAnsi="Times New Roman" w:cs="Times New Roman"/>
                <w:sz w:val="18"/>
                <w:szCs w:val="18"/>
                <w:highlight w:val="yellow"/>
                <w:lang w:eastAsia="lv-LV"/>
              </w:rPr>
            </w:pPr>
            <w:r w:rsidRPr="00284429">
              <w:rPr>
                <w:rFonts w:ascii="Times New Roman" w:hAnsi="Times New Roman" w:cs="Times New Roman"/>
              </w:rPr>
              <w:t>1 451 396</w:t>
            </w:r>
          </w:p>
        </w:tc>
        <w:tc>
          <w:tcPr>
            <w:tcW w:w="1276" w:type="dxa"/>
            <w:tcBorders>
              <w:top w:val="single" w:sz="8" w:space="0" w:color="auto"/>
              <w:left w:val="nil"/>
              <w:bottom w:val="single" w:sz="8" w:space="0" w:color="auto"/>
              <w:right w:val="single" w:sz="8" w:space="0" w:color="auto"/>
            </w:tcBorders>
            <w:shd w:val="clear" w:color="auto" w:fill="auto"/>
            <w:noWrap/>
            <w:hideMark/>
          </w:tcPr>
          <w:p w14:paraId="052AF6CD" w14:textId="6CE9DCCD" w:rsidR="003E6326" w:rsidRPr="00284429" w:rsidRDefault="003E6326" w:rsidP="003E6326">
            <w:pPr>
              <w:spacing w:after="0" w:line="240" w:lineRule="auto"/>
              <w:jc w:val="right"/>
              <w:rPr>
                <w:rFonts w:ascii="Times New Roman" w:eastAsia="Times New Roman" w:hAnsi="Times New Roman" w:cs="Times New Roman"/>
                <w:sz w:val="18"/>
                <w:szCs w:val="18"/>
                <w:highlight w:val="yellow"/>
                <w:lang w:eastAsia="lv-LV"/>
              </w:rPr>
            </w:pPr>
            <w:r w:rsidRPr="00284429">
              <w:rPr>
                <w:rFonts w:ascii="Times New Roman" w:hAnsi="Times New Roman" w:cs="Times New Roman"/>
              </w:rPr>
              <w:t>4 223 365</w:t>
            </w:r>
          </w:p>
        </w:tc>
        <w:tc>
          <w:tcPr>
            <w:tcW w:w="1559" w:type="dxa"/>
            <w:tcBorders>
              <w:top w:val="single" w:sz="8" w:space="0" w:color="auto"/>
              <w:left w:val="nil"/>
              <w:bottom w:val="single" w:sz="8" w:space="0" w:color="auto"/>
              <w:right w:val="single" w:sz="8" w:space="0" w:color="auto"/>
            </w:tcBorders>
            <w:shd w:val="clear" w:color="auto" w:fill="auto"/>
            <w:noWrap/>
            <w:hideMark/>
          </w:tcPr>
          <w:p w14:paraId="5C4ADBC8" w14:textId="467671C4" w:rsidR="003E6326" w:rsidRPr="00284429" w:rsidRDefault="003E6326" w:rsidP="003E6326">
            <w:pPr>
              <w:spacing w:after="0" w:line="240" w:lineRule="auto"/>
              <w:jc w:val="right"/>
              <w:rPr>
                <w:rFonts w:ascii="Times New Roman" w:eastAsia="Times New Roman" w:hAnsi="Times New Roman" w:cs="Times New Roman"/>
                <w:color w:val="000000"/>
                <w:sz w:val="18"/>
                <w:szCs w:val="18"/>
                <w:highlight w:val="yellow"/>
                <w:lang w:eastAsia="lv-LV"/>
              </w:rPr>
            </w:pPr>
            <w:r w:rsidRPr="00284429">
              <w:rPr>
                <w:rFonts w:ascii="Times New Roman" w:hAnsi="Times New Roman" w:cs="Times New Roman"/>
              </w:rPr>
              <w:t>2 771 969</w:t>
            </w:r>
          </w:p>
        </w:tc>
      </w:tr>
    </w:tbl>
    <w:p w14:paraId="74895B6C" w14:textId="1491616F" w:rsidR="00D2608B" w:rsidRPr="00284429" w:rsidRDefault="003900FD" w:rsidP="00D91CFF">
      <w:pPr>
        <w:tabs>
          <w:tab w:val="right" w:pos="8640"/>
        </w:tabs>
        <w:spacing w:before="120" w:after="120" w:line="276" w:lineRule="auto"/>
        <w:jc w:val="both"/>
        <w:rPr>
          <w:rFonts w:ascii="Times New Roman" w:eastAsia="Calibri" w:hAnsi="Times New Roman" w:cs="Times New Roman"/>
        </w:rPr>
      </w:pPr>
      <w:r w:rsidRPr="00284429">
        <w:rPr>
          <w:rFonts w:ascii="Times New Roman" w:eastAsia="Calibri" w:hAnsi="Times New Roman" w:cs="Times New Roman"/>
        </w:rPr>
        <w:t>_</w:t>
      </w:r>
    </w:p>
    <w:sectPr w:rsidR="00D2608B" w:rsidRPr="00284429">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B58CA" w14:textId="77777777" w:rsidR="0007581E" w:rsidRDefault="0007581E" w:rsidP="0007581E">
      <w:pPr>
        <w:spacing w:after="0" w:line="240" w:lineRule="auto"/>
      </w:pPr>
      <w:r>
        <w:separator/>
      </w:r>
    </w:p>
  </w:endnote>
  <w:endnote w:type="continuationSeparator" w:id="0">
    <w:p w14:paraId="3F37FD64" w14:textId="77777777" w:rsidR="0007581E" w:rsidRDefault="0007581E" w:rsidP="0007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3761387"/>
      <w:docPartObj>
        <w:docPartGallery w:val="Page Numbers (Bottom of Page)"/>
        <w:docPartUnique/>
      </w:docPartObj>
    </w:sdtPr>
    <w:sdtEndPr>
      <w:rPr>
        <w:noProof/>
      </w:rPr>
    </w:sdtEndPr>
    <w:sdtContent>
      <w:p w14:paraId="3355F998" w14:textId="4C00345E" w:rsidR="0007581E" w:rsidRDefault="000758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73BE78" w14:textId="77777777" w:rsidR="0007581E" w:rsidRDefault="00075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ADB37" w14:textId="77777777" w:rsidR="0007581E" w:rsidRDefault="0007581E" w:rsidP="0007581E">
      <w:pPr>
        <w:spacing w:after="0" w:line="240" w:lineRule="auto"/>
      </w:pPr>
      <w:r>
        <w:separator/>
      </w:r>
    </w:p>
  </w:footnote>
  <w:footnote w:type="continuationSeparator" w:id="0">
    <w:p w14:paraId="1CBA9506" w14:textId="77777777" w:rsidR="0007581E" w:rsidRDefault="0007581E" w:rsidP="00075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42811"/>
    <w:multiLevelType w:val="hybridMultilevel"/>
    <w:tmpl w:val="C010BD4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4B"/>
    <w:rsid w:val="0007581E"/>
    <w:rsid w:val="00117827"/>
    <w:rsid w:val="00272094"/>
    <w:rsid w:val="00277CB4"/>
    <w:rsid w:val="00284429"/>
    <w:rsid w:val="002C5134"/>
    <w:rsid w:val="0033433A"/>
    <w:rsid w:val="00377184"/>
    <w:rsid w:val="003900FD"/>
    <w:rsid w:val="003C5FA2"/>
    <w:rsid w:val="003D2322"/>
    <w:rsid w:val="003E1A92"/>
    <w:rsid w:val="003E6326"/>
    <w:rsid w:val="003F04E6"/>
    <w:rsid w:val="00454D96"/>
    <w:rsid w:val="004D10C0"/>
    <w:rsid w:val="00531702"/>
    <w:rsid w:val="005D6161"/>
    <w:rsid w:val="00664CE7"/>
    <w:rsid w:val="00666D51"/>
    <w:rsid w:val="006748C3"/>
    <w:rsid w:val="006A1C9D"/>
    <w:rsid w:val="006F1B73"/>
    <w:rsid w:val="007C7DB8"/>
    <w:rsid w:val="007F1EFB"/>
    <w:rsid w:val="007F6998"/>
    <w:rsid w:val="0082624B"/>
    <w:rsid w:val="008853C1"/>
    <w:rsid w:val="008929B5"/>
    <w:rsid w:val="008C759D"/>
    <w:rsid w:val="00930F38"/>
    <w:rsid w:val="009D297E"/>
    <w:rsid w:val="009D7747"/>
    <w:rsid w:val="00A275FD"/>
    <w:rsid w:val="00A901C7"/>
    <w:rsid w:val="00AF3FE5"/>
    <w:rsid w:val="00B1560A"/>
    <w:rsid w:val="00B93EEC"/>
    <w:rsid w:val="00BB3B98"/>
    <w:rsid w:val="00BC2F07"/>
    <w:rsid w:val="00BD35E8"/>
    <w:rsid w:val="00C9768E"/>
    <w:rsid w:val="00D2608B"/>
    <w:rsid w:val="00D91CFF"/>
    <w:rsid w:val="00D976E8"/>
    <w:rsid w:val="00DF3B0F"/>
    <w:rsid w:val="00E26B73"/>
    <w:rsid w:val="00E81C20"/>
    <w:rsid w:val="00EB59B3"/>
    <w:rsid w:val="00ED182C"/>
    <w:rsid w:val="00F3376C"/>
    <w:rsid w:val="00F83F02"/>
    <w:rsid w:val="00F91F43"/>
    <w:rsid w:val="00FD73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C996"/>
  <w15:chartTrackingRefBased/>
  <w15:docId w15:val="{EB213E4D-FA26-4225-826C-DC83FCF1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1F43"/>
    <w:pPr>
      <w:spacing w:after="0" w:line="240" w:lineRule="auto"/>
      <w:ind w:left="720"/>
      <w:contextualSpacing/>
    </w:pPr>
    <w:rPr>
      <w:rFonts w:ascii="Calibri" w:hAnsi="Calibri" w:cs="Times New Roman"/>
      <w:lang w:eastAsia="lv-LV"/>
    </w:rPr>
  </w:style>
  <w:style w:type="character" w:customStyle="1" w:styleId="ListParagraphChar">
    <w:name w:val="List Paragraph Char"/>
    <w:link w:val="ListParagraph"/>
    <w:uiPriority w:val="34"/>
    <w:locked/>
    <w:rsid w:val="00F91F43"/>
    <w:rPr>
      <w:rFonts w:ascii="Calibri" w:hAnsi="Calibri" w:cs="Times New Roman"/>
      <w:lang w:eastAsia="lv-LV"/>
    </w:rPr>
  </w:style>
  <w:style w:type="paragraph" w:styleId="BalloonText">
    <w:name w:val="Balloon Text"/>
    <w:basedOn w:val="Normal"/>
    <w:link w:val="BalloonTextChar"/>
    <w:uiPriority w:val="99"/>
    <w:semiHidden/>
    <w:unhideWhenUsed/>
    <w:rsid w:val="00377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184"/>
    <w:rPr>
      <w:rFonts w:ascii="Segoe UI" w:hAnsi="Segoe UI" w:cs="Segoe UI"/>
      <w:sz w:val="18"/>
      <w:szCs w:val="18"/>
    </w:rPr>
  </w:style>
  <w:style w:type="paragraph" w:styleId="Header">
    <w:name w:val="header"/>
    <w:basedOn w:val="Normal"/>
    <w:link w:val="HeaderChar"/>
    <w:uiPriority w:val="99"/>
    <w:unhideWhenUsed/>
    <w:rsid w:val="000758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581E"/>
  </w:style>
  <w:style w:type="paragraph" w:styleId="Footer">
    <w:name w:val="footer"/>
    <w:basedOn w:val="Normal"/>
    <w:link w:val="FooterChar"/>
    <w:uiPriority w:val="99"/>
    <w:unhideWhenUsed/>
    <w:rsid w:val="000758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581E"/>
  </w:style>
  <w:style w:type="paragraph" w:styleId="PlainText">
    <w:name w:val="Plain Text"/>
    <w:basedOn w:val="Normal"/>
    <w:link w:val="PlainTextChar"/>
    <w:uiPriority w:val="99"/>
    <w:unhideWhenUsed/>
    <w:rsid w:val="00E81C2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E81C2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649399">
      <w:bodyDiv w:val="1"/>
      <w:marLeft w:val="0"/>
      <w:marRight w:val="0"/>
      <w:marTop w:val="0"/>
      <w:marBottom w:val="0"/>
      <w:divBdr>
        <w:top w:val="none" w:sz="0" w:space="0" w:color="auto"/>
        <w:left w:val="none" w:sz="0" w:space="0" w:color="auto"/>
        <w:bottom w:val="none" w:sz="0" w:space="0" w:color="auto"/>
        <w:right w:val="none" w:sz="0" w:space="0" w:color="auto"/>
      </w:divBdr>
    </w:div>
    <w:div w:id="1476025298">
      <w:bodyDiv w:val="1"/>
      <w:marLeft w:val="0"/>
      <w:marRight w:val="0"/>
      <w:marTop w:val="0"/>
      <w:marBottom w:val="0"/>
      <w:divBdr>
        <w:top w:val="none" w:sz="0" w:space="0" w:color="auto"/>
        <w:left w:val="none" w:sz="0" w:space="0" w:color="auto"/>
        <w:bottom w:val="none" w:sz="0" w:space="0" w:color="auto"/>
        <w:right w:val="none" w:sz="0" w:space="0" w:color="auto"/>
      </w:divBdr>
    </w:div>
    <w:div w:id="208753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AF5C3-E3EA-459A-AB79-9AB01337E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7836</Words>
  <Characters>4468</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 Paņko</dc:creator>
  <cp:keywords/>
  <dc:description/>
  <cp:lastModifiedBy>Rolands Paņko</cp:lastModifiedBy>
  <cp:revision>23</cp:revision>
  <cp:lastPrinted>2019-08-08T12:06:00Z</cp:lastPrinted>
  <dcterms:created xsi:type="dcterms:W3CDTF">2020-05-20T07:21:00Z</dcterms:created>
  <dcterms:modified xsi:type="dcterms:W3CDTF">2020-05-20T09:33:00Z</dcterms:modified>
</cp:coreProperties>
</file>