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D992" w14:textId="3BB387BF" w:rsidR="00B93EEC" w:rsidRPr="006F1B73" w:rsidRDefault="0082624B" w:rsidP="00D976E8">
      <w:pPr>
        <w:tabs>
          <w:tab w:val="right" w:pos="8640"/>
        </w:tabs>
        <w:spacing w:after="0" w:line="276"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 xml:space="preserve">AS “Attīstības finanšu institūcija </w:t>
      </w:r>
      <w:proofErr w:type="spellStart"/>
      <w:r w:rsidRPr="006F1B73">
        <w:rPr>
          <w:rFonts w:ascii="Times New Roman" w:eastAsia="Calibri" w:hAnsi="Times New Roman" w:cs="Times New Roman"/>
          <w:b/>
          <w:sz w:val="28"/>
          <w:szCs w:val="28"/>
        </w:rPr>
        <w:t>Altum</w:t>
      </w:r>
      <w:proofErr w:type="spellEnd"/>
      <w:r w:rsidRPr="006F1B73">
        <w:rPr>
          <w:rFonts w:ascii="Times New Roman" w:eastAsia="Calibri" w:hAnsi="Times New Roman" w:cs="Times New Roman"/>
          <w:b/>
          <w:sz w:val="28"/>
          <w:szCs w:val="28"/>
        </w:rPr>
        <w:t>”</w:t>
      </w:r>
      <w:r w:rsidR="00D976E8" w:rsidRPr="006F1B73">
        <w:rPr>
          <w:rFonts w:ascii="Times New Roman" w:eastAsia="Calibri" w:hAnsi="Times New Roman" w:cs="Times New Roman"/>
          <w:b/>
          <w:sz w:val="28"/>
          <w:szCs w:val="28"/>
        </w:rPr>
        <w:t xml:space="preserve"> </w:t>
      </w:r>
    </w:p>
    <w:p w14:paraId="3848DA56" w14:textId="716B71CA" w:rsidR="00D976E8" w:rsidRPr="006F1B73" w:rsidRDefault="00B93EEC" w:rsidP="00D976E8">
      <w:pPr>
        <w:tabs>
          <w:tab w:val="right" w:pos="8640"/>
        </w:tabs>
        <w:spacing w:after="0" w:line="276"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vidēja termiņa darbības stratēģijā 2016.-2018.gadam izvirzīto</w:t>
      </w:r>
      <w:r w:rsidR="00D976E8" w:rsidRPr="006F1B73">
        <w:rPr>
          <w:rFonts w:ascii="Times New Roman" w:eastAsia="Calibri" w:hAnsi="Times New Roman" w:cs="Times New Roman"/>
          <w:b/>
          <w:sz w:val="28"/>
          <w:szCs w:val="28"/>
        </w:rPr>
        <w:t xml:space="preserve"> </w:t>
      </w:r>
    </w:p>
    <w:p w14:paraId="2867DBA2" w14:textId="284755A5" w:rsidR="00B93EEC" w:rsidRPr="006F1B73" w:rsidRDefault="00B93EEC" w:rsidP="00D976E8">
      <w:pPr>
        <w:widowControl w:val="0"/>
        <w:spacing w:after="0" w:line="240" w:lineRule="auto"/>
        <w:jc w:val="center"/>
        <w:rPr>
          <w:rFonts w:ascii="Times New Roman" w:eastAsia="Calibri" w:hAnsi="Times New Roman" w:cs="Times New Roman"/>
          <w:sz w:val="28"/>
          <w:szCs w:val="28"/>
        </w:rPr>
      </w:pPr>
      <w:r w:rsidRPr="006F1B73">
        <w:rPr>
          <w:rFonts w:ascii="Times New Roman" w:eastAsia="Calibri" w:hAnsi="Times New Roman" w:cs="Times New Roman"/>
          <w:b/>
          <w:sz w:val="28"/>
          <w:szCs w:val="28"/>
        </w:rPr>
        <w:t xml:space="preserve">finanšu un </w:t>
      </w:r>
      <w:proofErr w:type="spellStart"/>
      <w:r w:rsidRPr="006F1B73">
        <w:rPr>
          <w:rFonts w:ascii="Times New Roman" w:eastAsia="Calibri" w:hAnsi="Times New Roman" w:cs="Times New Roman"/>
          <w:b/>
          <w:sz w:val="28"/>
          <w:szCs w:val="28"/>
        </w:rPr>
        <w:t>nefinanšu</w:t>
      </w:r>
      <w:proofErr w:type="spellEnd"/>
      <w:r w:rsidRPr="006F1B73">
        <w:rPr>
          <w:rFonts w:ascii="Times New Roman" w:eastAsia="Calibri" w:hAnsi="Times New Roman" w:cs="Times New Roman"/>
          <w:b/>
          <w:sz w:val="28"/>
          <w:szCs w:val="28"/>
        </w:rPr>
        <w:t xml:space="preserve"> mērķu īstenošanas rezultāti 201</w:t>
      </w:r>
      <w:r w:rsidR="00E81C20" w:rsidRPr="006F1B73">
        <w:rPr>
          <w:rFonts w:ascii="Times New Roman" w:eastAsia="Calibri" w:hAnsi="Times New Roman" w:cs="Times New Roman"/>
          <w:b/>
          <w:sz w:val="28"/>
          <w:szCs w:val="28"/>
        </w:rPr>
        <w:t>7</w:t>
      </w:r>
      <w:r w:rsidR="00A275FD" w:rsidRPr="006F1B73">
        <w:rPr>
          <w:rFonts w:ascii="Times New Roman" w:eastAsia="Calibri" w:hAnsi="Times New Roman" w:cs="Times New Roman"/>
          <w:b/>
          <w:sz w:val="28"/>
          <w:szCs w:val="28"/>
        </w:rPr>
        <w:t>.</w:t>
      </w:r>
      <w:r w:rsidRPr="006F1B73">
        <w:rPr>
          <w:rFonts w:ascii="Times New Roman" w:eastAsia="Calibri" w:hAnsi="Times New Roman" w:cs="Times New Roman"/>
          <w:b/>
          <w:sz w:val="28"/>
          <w:szCs w:val="28"/>
        </w:rPr>
        <w:t xml:space="preserve"> g</w:t>
      </w:r>
      <w:r w:rsidR="00A275FD" w:rsidRPr="006F1B73">
        <w:rPr>
          <w:rFonts w:ascii="Times New Roman" w:eastAsia="Calibri" w:hAnsi="Times New Roman" w:cs="Times New Roman"/>
          <w:b/>
          <w:sz w:val="28"/>
          <w:szCs w:val="28"/>
        </w:rPr>
        <w:t>a</w:t>
      </w:r>
      <w:r w:rsidRPr="006F1B73">
        <w:rPr>
          <w:rFonts w:ascii="Times New Roman" w:eastAsia="Calibri" w:hAnsi="Times New Roman" w:cs="Times New Roman"/>
          <w:b/>
          <w:sz w:val="28"/>
          <w:szCs w:val="28"/>
        </w:rPr>
        <w:t>dā</w:t>
      </w:r>
      <w:r w:rsidR="00D976E8" w:rsidRPr="006F1B73">
        <w:rPr>
          <w:rFonts w:ascii="Times New Roman" w:eastAsia="Calibri" w:hAnsi="Times New Roman" w:cs="Times New Roman"/>
          <w:b/>
          <w:sz w:val="28"/>
          <w:szCs w:val="28"/>
        </w:rPr>
        <w:t xml:space="preserve"> </w:t>
      </w:r>
    </w:p>
    <w:p w14:paraId="480C1DDF" w14:textId="6CCA4FE4" w:rsidR="00B93EEC" w:rsidRPr="006F1B73" w:rsidRDefault="00B93EEC" w:rsidP="00B93EEC">
      <w:pPr>
        <w:widowControl w:val="0"/>
        <w:spacing w:after="0" w:line="240" w:lineRule="auto"/>
        <w:jc w:val="center"/>
        <w:rPr>
          <w:rFonts w:ascii="Times New Roman" w:eastAsia="Calibri" w:hAnsi="Times New Roman" w:cs="Times New Roman"/>
        </w:rPr>
      </w:pPr>
      <w:bookmarkStart w:id="0" w:name="_Hlk16151861"/>
    </w:p>
    <w:p w14:paraId="71CDBC30" w14:textId="23E28260" w:rsidR="00B93EEC" w:rsidRPr="006F1B73" w:rsidRDefault="00D91CFF" w:rsidP="00B93EEC">
      <w:pPr>
        <w:tabs>
          <w:tab w:val="right" w:pos="8640"/>
        </w:tabs>
        <w:spacing w:before="120" w:after="120" w:line="276" w:lineRule="auto"/>
        <w:jc w:val="both"/>
        <w:rPr>
          <w:rFonts w:ascii="Times New Roman" w:eastAsia="Calibri" w:hAnsi="Times New Roman" w:cs="Times New Roman"/>
          <w:b/>
          <w:bCs/>
          <w:sz w:val="28"/>
          <w:szCs w:val="28"/>
        </w:rPr>
      </w:pPr>
      <w:bookmarkStart w:id="1" w:name="_Hlk16151899"/>
      <w:bookmarkEnd w:id="0"/>
      <w:r>
        <w:rPr>
          <w:rFonts w:ascii="Times New Roman" w:eastAsia="Calibri" w:hAnsi="Times New Roman" w:cs="Times New Roman"/>
          <w:b/>
          <w:bCs/>
          <w:sz w:val="28"/>
          <w:szCs w:val="28"/>
        </w:rPr>
        <w:t xml:space="preserve">1. </w:t>
      </w:r>
      <w:r w:rsidR="00B93EEC" w:rsidRPr="006F1B73">
        <w:rPr>
          <w:rFonts w:ascii="Times New Roman" w:eastAsia="Calibri" w:hAnsi="Times New Roman" w:cs="Times New Roman"/>
          <w:b/>
          <w:bCs/>
          <w:sz w:val="28"/>
          <w:szCs w:val="28"/>
        </w:rPr>
        <w:t xml:space="preserve">Finanšu mērķi </w:t>
      </w:r>
    </w:p>
    <w:bookmarkEnd w:id="1"/>
    <w:p w14:paraId="7DBC0786" w14:textId="19781892" w:rsidR="00B93EEC" w:rsidRPr="006F1B73" w:rsidRDefault="009D7747" w:rsidP="00B93EEC">
      <w:pPr>
        <w:tabs>
          <w:tab w:val="right" w:pos="8640"/>
        </w:tabs>
        <w:spacing w:before="120" w:after="120" w:line="276" w:lineRule="auto"/>
        <w:jc w:val="both"/>
        <w:rPr>
          <w:rFonts w:ascii="Times New Roman" w:eastAsia="Calibri" w:hAnsi="Times New Roman" w:cs="Times New Roman"/>
        </w:rPr>
      </w:pPr>
      <w:r w:rsidRPr="006F1B73">
        <w:rPr>
          <w:rFonts w:ascii="Times New Roman" w:eastAsia="Calibri" w:hAnsi="Times New Roman" w:cs="Times New Roman"/>
        </w:rPr>
        <w:t xml:space="preserve">2017.gadā ir izpildīts </w:t>
      </w:r>
      <w:proofErr w:type="spellStart"/>
      <w:r w:rsidRPr="006F1B73">
        <w:rPr>
          <w:rFonts w:ascii="Times New Roman" w:eastAsia="Calibri" w:hAnsi="Times New Roman" w:cs="Times New Roman"/>
        </w:rPr>
        <w:t>Altum</w:t>
      </w:r>
      <w:proofErr w:type="spellEnd"/>
      <w:r w:rsidRPr="006F1B73">
        <w:rPr>
          <w:rFonts w:ascii="Times New Roman" w:eastAsia="Calibri" w:hAnsi="Times New Roman" w:cs="Times New Roman"/>
        </w:rPr>
        <w:t xml:space="preserve"> stratēģijā noteiktais galvenais finanšu mērķis: realizējot valsts atbalsta programmas saglabāt ALTUM kapitālu</w:t>
      </w:r>
      <w:r w:rsidR="00B93EEC" w:rsidRPr="006F1B73">
        <w:rPr>
          <w:rFonts w:ascii="Times New Roman" w:eastAsia="Calibri" w:hAnsi="Times New Roman" w:cs="Times New Roman"/>
        </w:rPr>
        <w:t xml:space="preserve">. </w:t>
      </w:r>
      <w:bookmarkStart w:id="2" w:name="_Hlk16151706"/>
      <w:bookmarkStart w:id="3" w:name="_Hlk1615356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12"/>
        <w:gridCol w:w="1379"/>
        <w:gridCol w:w="1380"/>
        <w:gridCol w:w="1517"/>
        <w:gridCol w:w="1210"/>
      </w:tblGrid>
      <w:tr w:rsidR="0082624B" w:rsidRPr="006F1B73" w14:paraId="5091C393" w14:textId="77777777" w:rsidTr="00666D51">
        <w:trPr>
          <w:trHeight w:val="470"/>
          <w:jc w:val="center"/>
        </w:trPr>
        <w:tc>
          <w:tcPr>
            <w:tcW w:w="2653" w:type="dxa"/>
            <w:shd w:val="clear" w:color="auto" w:fill="auto"/>
            <w:vAlign w:val="center"/>
            <w:hideMark/>
          </w:tcPr>
          <w:p w14:paraId="16EB5D97" w14:textId="77777777" w:rsidR="0082624B" w:rsidRPr="006F1B73" w:rsidRDefault="0082624B" w:rsidP="0082624B">
            <w:pPr>
              <w:spacing w:after="0" w:line="240" w:lineRule="auto"/>
              <w:jc w:val="center"/>
              <w:rPr>
                <w:rFonts w:ascii="Times New Roman" w:eastAsia="Times New Roman" w:hAnsi="Times New Roman" w:cs="Times New Roman"/>
                <w:lang w:eastAsia="lv-LV"/>
              </w:rPr>
            </w:pPr>
            <w:bookmarkStart w:id="4" w:name="_Hlk16171541"/>
            <w:bookmarkEnd w:id="2"/>
            <w:r w:rsidRPr="006F1B73">
              <w:rPr>
                <w:rFonts w:ascii="Times New Roman" w:eastAsia="Times New Roman" w:hAnsi="Times New Roman" w:cs="Times New Roman"/>
                <w:lang w:eastAsia="lv-LV"/>
              </w:rPr>
              <w:t>Mērķis</w:t>
            </w:r>
          </w:p>
        </w:tc>
        <w:tc>
          <w:tcPr>
            <w:tcW w:w="1212" w:type="dxa"/>
            <w:shd w:val="clear" w:color="auto" w:fill="auto"/>
            <w:vAlign w:val="center"/>
            <w:hideMark/>
          </w:tcPr>
          <w:p w14:paraId="5E7214A3"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w:t>
            </w:r>
          </w:p>
          <w:p w14:paraId="598EA68D" w14:textId="5B55D9D0"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201</w:t>
            </w:r>
            <w:r w:rsidR="003D2322" w:rsidRPr="006F1B73">
              <w:rPr>
                <w:rFonts w:ascii="Times New Roman" w:eastAsia="Times New Roman" w:hAnsi="Times New Roman" w:cs="Times New Roman"/>
                <w:color w:val="000000"/>
                <w:lang w:eastAsia="lv-LV"/>
              </w:rPr>
              <w:t>6</w:t>
            </w:r>
            <w:r w:rsidRPr="006F1B73">
              <w:rPr>
                <w:rFonts w:ascii="Times New Roman" w:eastAsia="Times New Roman" w:hAnsi="Times New Roman" w:cs="Times New Roman"/>
                <w:color w:val="000000"/>
                <w:lang w:eastAsia="lv-LV"/>
              </w:rPr>
              <w:t>.gadā</w:t>
            </w:r>
          </w:p>
        </w:tc>
        <w:tc>
          <w:tcPr>
            <w:tcW w:w="1379" w:type="dxa"/>
            <w:shd w:val="clear" w:color="auto" w:fill="auto"/>
            <w:vAlign w:val="center"/>
            <w:hideMark/>
          </w:tcPr>
          <w:p w14:paraId="50985A4B" w14:textId="026BA7F9"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Plānotais 201</w:t>
            </w:r>
            <w:r w:rsidR="003D2322" w:rsidRPr="006F1B73">
              <w:rPr>
                <w:rFonts w:ascii="Times New Roman" w:eastAsia="Times New Roman" w:hAnsi="Times New Roman" w:cs="Times New Roman"/>
                <w:color w:val="000000"/>
                <w:lang w:eastAsia="lv-LV"/>
              </w:rPr>
              <w:t>7</w:t>
            </w:r>
            <w:r w:rsidRPr="006F1B73">
              <w:rPr>
                <w:rFonts w:ascii="Times New Roman" w:eastAsia="Times New Roman" w:hAnsi="Times New Roman" w:cs="Times New Roman"/>
                <w:color w:val="000000"/>
                <w:lang w:eastAsia="lv-LV"/>
              </w:rPr>
              <w:t>.gadam</w:t>
            </w:r>
          </w:p>
        </w:tc>
        <w:tc>
          <w:tcPr>
            <w:tcW w:w="1380" w:type="dxa"/>
            <w:shd w:val="clear" w:color="auto" w:fill="auto"/>
            <w:vAlign w:val="center"/>
            <w:hideMark/>
          </w:tcPr>
          <w:p w14:paraId="7FCCDEBC" w14:textId="612EE90D"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w:t>
            </w:r>
            <w:r w:rsidR="003D2322" w:rsidRPr="006F1B73">
              <w:rPr>
                <w:rFonts w:ascii="Times New Roman" w:eastAsia="Times New Roman" w:hAnsi="Times New Roman" w:cs="Times New Roman"/>
                <w:color w:val="000000"/>
                <w:lang w:eastAsia="lv-LV"/>
              </w:rPr>
              <w:t>7</w:t>
            </w:r>
            <w:r w:rsidRPr="006F1B73">
              <w:rPr>
                <w:rFonts w:ascii="Times New Roman" w:eastAsia="Times New Roman" w:hAnsi="Times New Roman" w:cs="Times New Roman"/>
                <w:color w:val="000000"/>
                <w:lang w:eastAsia="lv-LV"/>
              </w:rPr>
              <w:t>.gadā</w:t>
            </w:r>
          </w:p>
        </w:tc>
        <w:tc>
          <w:tcPr>
            <w:tcW w:w="1517" w:type="dxa"/>
            <w:shd w:val="clear" w:color="auto" w:fill="auto"/>
            <w:vAlign w:val="center"/>
            <w:hideMark/>
          </w:tcPr>
          <w:p w14:paraId="7189DD49"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w:t>
            </w:r>
          </w:p>
        </w:tc>
        <w:tc>
          <w:tcPr>
            <w:tcW w:w="1210" w:type="dxa"/>
            <w:shd w:val="clear" w:color="auto" w:fill="auto"/>
            <w:vAlign w:val="center"/>
            <w:hideMark/>
          </w:tcPr>
          <w:p w14:paraId="50FB37A0" w14:textId="77777777" w:rsidR="0082624B" w:rsidRPr="006F1B73" w:rsidRDefault="0082624B" w:rsidP="0082624B">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 %</w:t>
            </w:r>
          </w:p>
        </w:tc>
      </w:tr>
      <w:tr w:rsidR="0082624B" w:rsidRPr="006F1B73" w14:paraId="61F1BE1C" w14:textId="77777777" w:rsidTr="00666D51">
        <w:trPr>
          <w:trHeight w:val="311"/>
          <w:jc w:val="center"/>
        </w:trPr>
        <w:tc>
          <w:tcPr>
            <w:tcW w:w="2653" w:type="dxa"/>
            <w:shd w:val="clear" w:color="auto" w:fill="auto"/>
            <w:vAlign w:val="center"/>
          </w:tcPr>
          <w:p w14:paraId="0308BF10" w14:textId="77777777" w:rsidR="0082624B" w:rsidRPr="006F1B73" w:rsidRDefault="0082624B" w:rsidP="0082624B">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 xml:space="preserve">Pašu kapitāla </w:t>
            </w:r>
            <w:proofErr w:type="spellStart"/>
            <w:r w:rsidRPr="006F1B73">
              <w:rPr>
                <w:rFonts w:ascii="Times New Roman" w:eastAsia="Calibri" w:hAnsi="Times New Roman" w:cs="Times New Roman"/>
              </w:rPr>
              <w:t>atdeve</w:t>
            </w:r>
            <w:proofErr w:type="spellEnd"/>
            <w:r w:rsidRPr="006F1B73">
              <w:rPr>
                <w:rFonts w:ascii="Times New Roman" w:eastAsia="Calibri" w:hAnsi="Times New Roman" w:cs="Times New Roman"/>
              </w:rPr>
              <w:t xml:space="preserve"> (ROE)</w:t>
            </w:r>
          </w:p>
        </w:tc>
        <w:tc>
          <w:tcPr>
            <w:tcW w:w="1212" w:type="dxa"/>
            <w:shd w:val="clear" w:color="auto" w:fill="auto"/>
            <w:vAlign w:val="center"/>
          </w:tcPr>
          <w:p w14:paraId="0196886E" w14:textId="1604AF7B" w:rsidR="0082624B" w:rsidRPr="006F1B73" w:rsidRDefault="003D2322" w:rsidP="0082624B">
            <w:pPr>
              <w:widowControl w:val="0"/>
              <w:spacing w:after="0" w:line="240" w:lineRule="auto"/>
              <w:jc w:val="center"/>
              <w:rPr>
                <w:rFonts w:ascii="Times New Roman" w:eastAsia="Calibri" w:hAnsi="Times New Roman" w:cs="Times New Roman"/>
              </w:rPr>
            </w:pPr>
            <w:r w:rsidRPr="006F1B73">
              <w:rPr>
                <w:rFonts w:ascii="Times New Roman" w:eastAsia="Calibri" w:hAnsi="Times New Roman" w:cs="Times New Roman"/>
              </w:rPr>
              <w:t>1</w:t>
            </w:r>
            <w:r w:rsidR="0082624B" w:rsidRPr="006F1B73">
              <w:rPr>
                <w:rFonts w:ascii="Times New Roman" w:eastAsia="Calibri" w:hAnsi="Times New Roman" w:cs="Times New Roman"/>
              </w:rPr>
              <w:t>,</w:t>
            </w:r>
            <w:r w:rsidRPr="006F1B73">
              <w:rPr>
                <w:rFonts w:ascii="Times New Roman" w:eastAsia="Calibri" w:hAnsi="Times New Roman" w:cs="Times New Roman"/>
              </w:rPr>
              <w:t>95</w:t>
            </w:r>
            <w:r w:rsidR="0082624B" w:rsidRPr="006F1B73">
              <w:rPr>
                <w:rFonts w:ascii="Times New Roman" w:eastAsia="Calibri" w:hAnsi="Times New Roman" w:cs="Times New Roman"/>
              </w:rPr>
              <w:t>%</w:t>
            </w:r>
          </w:p>
        </w:tc>
        <w:tc>
          <w:tcPr>
            <w:tcW w:w="1379" w:type="dxa"/>
            <w:shd w:val="clear" w:color="auto" w:fill="auto"/>
            <w:vAlign w:val="center"/>
          </w:tcPr>
          <w:p w14:paraId="06FC9F9C" w14:textId="69699BFB" w:rsidR="0082624B" w:rsidRPr="006F1B73" w:rsidRDefault="0082624B" w:rsidP="0082624B">
            <w:pPr>
              <w:widowControl w:val="0"/>
              <w:spacing w:after="0" w:line="240" w:lineRule="auto"/>
              <w:jc w:val="center"/>
              <w:rPr>
                <w:rFonts w:ascii="Times New Roman" w:eastAsia="Calibri" w:hAnsi="Times New Roman" w:cs="Times New Roman"/>
              </w:rPr>
            </w:pPr>
            <w:r w:rsidRPr="006F1B73">
              <w:rPr>
                <w:rFonts w:ascii="Times New Roman" w:eastAsia="Calibri" w:hAnsi="Times New Roman" w:cs="Times New Roman"/>
              </w:rPr>
              <w:t>0,</w:t>
            </w:r>
            <w:r w:rsidR="003D2322" w:rsidRPr="006F1B73">
              <w:rPr>
                <w:rFonts w:ascii="Times New Roman" w:eastAsia="Calibri" w:hAnsi="Times New Roman" w:cs="Times New Roman"/>
              </w:rPr>
              <w:t>03</w:t>
            </w:r>
            <w:r w:rsidRPr="006F1B73">
              <w:rPr>
                <w:rFonts w:ascii="Times New Roman" w:eastAsia="Calibri" w:hAnsi="Times New Roman" w:cs="Times New Roman"/>
              </w:rPr>
              <w:t>%</w:t>
            </w:r>
          </w:p>
        </w:tc>
        <w:tc>
          <w:tcPr>
            <w:tcW w:w="1380" w:type="dxa"/>
            <w:shd w:val="clear" w:color="auto" w:fill="auto"/>
            <w:vAlign w:val="center"/>
          </w:tcPr>
          <w:p w14:paraId="2483DE43" w14:textId="6AB4F64E" w:rsidR="0082624B" w:rsidRPr="006F1B73" w:rsidRDefault="0082624B" w:rsidP="0082624B">
            <w:pPr>
              <w:widowControl w:val="0"/>
              <w:spacing w:after="0" w:line="240" w:lineRule="auto"/>
              <w:jc w:val="center"/>
              <w:rPr>
                <w:rFonts w:ascii="Times New Roman" w:eastAsia="Calibri" w:hAnsi="Times New Roman" w:cs="Times New Roman"/>
              </w:rPr>
            </w:pPr>
            <w:r w:rsidRPr="006F1B73">
              <w:rPr>
                <w:rFonts w:ascii="Times New Roman" w:eastAsia="Calibri" w:hAnsi="Times New Roman" w:cs="Times New Roman"/>
              </w:rPr>
              <w:t>2,</w:t>
            </w:r>
            <w:r w:rsidR="003D2322" w:rsidRPr="006F1B73">
              <w:rPr>
                <w:rFonts w:ascii="Times New Roman" w:eastAsia="Calibri" w:hAnsi="Times New Roman" w:cs="Times New Roman"/>
              </w:rPr>
              <w:t>74</w:t>
            </w:r>
            <w:r w:rsidRPr="006F1B73">
              <w:rPr>
                <w:rFonts w:ascii="Times New Roman" w:eastAsia="Calibri" w:hAnsi="Times New Roman" w:cs="Times New Roman"/>
              </w:rPr>
              <w:t>%</w:t>
            </w:r>
          </w:p>
        </w:tc>
        <w:tc>
          <w:tcPr>
            <w:tcW w:w="1517" w:type="dxa"/>
            <w:shd w:val="clear" w:color="auto" w:fill="auto"/>
            <w:vAlign w:val="center"/>
          </w:tcPr>
          <w:p w14:paraId="71F278B3" w14:textId="3251FB52" w:rsidR="0082624B" w:rsidRPr="006F1B73" w:rsidRDefault="0082624B" w:rsidP="0082624B">
            <w:pPr>
              <w:widowControl w:val="0"/>
              <w:spacing w:after="0" w:line="240" w:lineRule="auto"/>
              <w:jc w:val="center"/>
              <w:rPr>
                <w:rFonts w:ascii="Times New Roman" w:eastAsia="Calibri" w:hAnsi="Times New Roman" w:cs="Times New Roman"/>
              </w:rPr>
            </w:pPr>
            <w:r w:rsidRPr="006F1B73">
              <w:rPr>
                <w:rFonts w:ascii="Times New Roman" w:eastAsia="Calibri" w:hAnsi="Times New Roman" w:cs="Times New Roman"/>
              </w:rPr>
              <w:t>+</w:t>
            </w:r>
            <w:r w:rsidR="003D2322" w:rsidRPr="006F1B73">
              <w:rPr>
                <w:rFonts w:ascii="Times New Roman" w:eastAsia="Calibri" w:hAnsi="Times New Roman" w:cs="Times New Roman"/>
              </w:rPr>
              <w:t>2</w:t>
            </w:r>
            <w:r w:rsidRPr="006F1B73">
              <w:rPr>
                <w:rFonts w:ascii="Times New Roman" w:eastAsia="Calibri" w:hAnsi="Times New Roman" w:cs="Times New Roman"/>
              </w:rPr>
              <w:t>,</w:t>
            </w:r>
            <w:r w:rsidR="003D2322" w:rsidRPr="006F1B73">
              <w:rPr>
                <w:rFonts w:ascii="Times New Roman" w:eastAsia="Calibri" w:hAnsi="Times New Roman" w:cs="Times New Roman"/>
              </w:rPr>
              <w:t>71</w:t>
            </w:r>
            <w:r w:rsidRPr="006F1B73">
              <w:rPr>
                <w:rFonts w:ascii="Times New Roman" w:eastAsia="Calibri" w:hAnsi="Times New Roman" w:cs="Times New Roman"/>
              </w:rPr>
              <w:t xml:space="preserve"> </w:t>
            </w:r>
          </w:p>
        </w:tc>
        <w:tc>
          <w:tcPr>
            <w:tcW w:w="1210" w:type="dxa"/>
            <w:shd w:val="clear" w:color="auto" w:fill="auto"/>
            <w:vAlign w:val="center"/>
          </w:tcPr>
          <w:p w14:paraId="7E0D5E90" w14:textId="488AD6B7" w:rsidR="0082624B" w:rsidRPr="006F1B73" w:rsidRDefault="0082624B" w:rsidP="0082624B">
            <w:pPr>
              <w:widowControl w:val="0"/>
              <w:spacing w:after="0" w:line="240" w:lineRule="auto"/>
              <w:jc w:val="center"/>
              <w:rPr>
                <w:rFonts w:ascii="Times New Roman" w:eastAsia="Calibri" w:hAnsi="Times New Roman" w:cs="Times New Roman"/>
              </w:rPr>
            </w:pPr>
            <w:r w:rsidRPr="006F1B73">
              <w:rPr>
                <w:rFonts w:ascii="Times New Roman" w:eastAsia="Calibri" w:hAnsi="Times New Roman" w:cs="Times New Roman"/>
              </w:rPr>
              <w:t>+</w:t>
            </w:r>
            <w:r w:rsidR="003D2322" w:rsidRPr="006F1B73">
              <w:rPr>
                <w:rFonts w:ascii="Times New Roman" w:eastAsia="Calibri" w:hAnsi="Times New Roman" w:cs="Times New Roman"/>
              </w:rPr>
              <w:t>9 033</w:t>
            </w:r>
            <w:r w:rsidRPr="006F1B73">
              <w:rPr>
                <w:rFonts w:ascii="Times New Roman" w:eastAsia="Calibri" w:hAnsi="Times New Roman" w:cs="Times New Roman"/>
              </w:rPr>
              <w:t>%</w:t>
            </w:r>
          </w:p>
        </w:tc>
      </w:tr>
      <w:tr w:rsidR="003D2322" w:rsidRPr="006F1B73" w14:paraId="6F5862D8" w14:textId="77777777" w:rsidTr="00A15FAF">
        <w:trPr>
          <w:trHeight w:val="311"/>
          <w:jc w:val="center"/>
        </w:trPr>
        <w:tc>
          <w:tcPr>
            <w:tcW w:w="2653" w:type="dxa"/>
            <w:shd w:val="clear" w:color="auto" w:fill="auto"/>
            <w:vAlign w:val="center"/>
          </w:tcPr>
          <w:p w14:paraId="1217257F" w14:textId="77777777" w:rsidR="003D2322" w:rsidRPr="006F1B73" w:rsidRDefault="003D2322" w:rsidP="003D2322">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Peļņa vai zaudējumi, EUR</w:t>
            </w:r>
          </w:p>
        </w:tc>
        <w:tc>
          <w:tcPr>
            <w:tcW w:w="1212" w:type="dxa"/>
            <w:shd w:val="clear" w:color="auto" w:fill="auto"/>
          </w:tcPr>
          <w:p w14:paraId="1D062D24" w14:textId="7566C0C6"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4 024 833</w:t>
            </w:r>
          </w:p>
        </w:tc>
        <w:tc>
          <w:tcPr>
            <w:tcW w:w="1379" w:type="dxa"/>
            <w:shd w:val="clear" w:color="auto" w:fill="auto"/>
          </w:tcPr>
          <w:p w14:paraId="10FE73CE" w14:textId="16B57B0D"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81 000</w:t>
            </w:r>
          </w:p>
        </w:tc>
        <w:tc>
          <w:tcPr>
            <w:tcW w:w="1380" w:type="dxa"/>
            <w:shd w:val="clear" w:color="auto" w:fill="auto"/>
          </w:tcPr>
          <w:p w14:paraId="0CAD6262" w14:textId="34A1A850"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5 883 500</w:t>
            </w:r>
          </w:p>
        </w:tc>
        <w:tc>
          <w:tcPr>
            <w:tcW w:w="1517" w:type="dxa"/>
            <w:shd w:val="clear" w:color="auto" w:fill="auto"/>
          </w:tcPr>
          <w:p w14:paraId="72A3F415" w14:textId="22C68571"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5 802 500</w:t>
            </w:r>
          </w:p>
        </w:tc>
        <w:tc>
          <w:tcPr>
            <w:tcW w:w="1210" w:type="dxa"/>
            <w:shd w:val="clear" w:color="auto" w:fill="auto"/>
          </w:tcPr>
          <w:p w14:paraId="16D7C976" w14:textId="78392316"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+7 164%</w:t>
            </w:r>
          </w:p>
        </w:tc>
      </w:tr>
      <w:tr w:rsidR="003D2322" w:rsidRPr="006F1B73" w14:paraId="206BDC56" w14:textId="77777777" w:rsidTr="00DA33EE">
        <w:trPr>
          <w:trHeight w:val="311"/>
          <w:jc w:val="center"/>
        </w:trPr>
        <w:tc>
          <w:tcPr>
            <w:tcW w:w="2653" w:type="dxa"/>
            <w:shd w:val="clear" w:color="auto" w:fill="auto"/>
            <w:vAlign w:val="center"/>
          </w:tcPr>
          <w:p w14:paraId="2CD4F467" w14:textId="77777777" w:rsidR="003D2322" w:rsidRPr="006F1B73" w:rsidRDefault="003D2322" w:rsidP="003D2322">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Pašu kapitāls (gada beigās), EUR</w:t>
            </w:r>
          </w:p>
        </w:tc>
        <w:tc>
          <w:tcPr>
            <w:tcW w:w="1212" w:type="dxa"/>
            <w:shd w:val="clear" w:color="auto" w:fill="auto"/>
          </w:tcPr>
          <w:p w14:paraId="00B0D7AF" w14:textId="205CA2F4" w:rsidR="003D2322" w:rsidRPr="006F1B73" w:rsidRDefault="003D2322" w:rsidP="003D2322">
            <w:pPr>
              <w:widowControl w:val="0"/>
              <w:spacing w:after="0" w:line="240" w:lineRule="auto"/>
              <w:jc w:val="center"/>
              <w:rPr>
                <w:rFonts w:ascii="Times New Roman" w:eastAsia="Calibri" w:hAnsi="Times New Roman" w:cs="Times New Roman"/>
                <w:sz w:val="18"/>
                <w:szCs w:val="18"/>
              </w:rPr>
            </w:pPr>
            <w:r w:rsidRPr="006F1B73">
              <w:rPr>
                <w:rFonts w:ascii="Times New Roman" w:hAnsi="Times New Roman" w:cs="Times New Roman"/>
                <w:sz w:val="18"/>
                <w:szCs w:val="18"/>
              </w:rPr>
              <w:t>211 068 457</w:t>
            </w:r>
          </w:p>
        </w:tc>
        <w:tc>
          <w:tcPr>
            <w:tcW w:w="1379" w:type="dxa"/>
            <w:shd w:val="clear" w:color="auto" w:fill="auto"/>
          </w:tcPr>
          <w:p w14:paraId="1B4EF3E6" w14:textId="77F3C497"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204 057 000</w:t>
            </w:r>
          </w:p>
        </w:tc>
        <w:tc>
          <w:tcPr>
            <w:tcW w:w="1380" w:type="dxa"/>
            <w:shd w:val="clear" w:color="auto" w:fill="auto"/>
          </w:tcPr>
          <w:p w14:paraId="3EEF6F2F" w14:textId="2352CE5F"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218 290 545</w:t>
            </w:r>
          </w:p>
        </w:tc>
        <w:tc>
          <w:tcPr>
            <w:tcW w:w="1517" w:type="dxa"/>
            <w:shd w:val="clear" w:color="auto" w:fill="auto"/>
          </w:tcPr>
          <w:p w14:paraId="02893EFF" w14:textId="089432C7"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14 233 545</w:t>
            </w:r>
          </w:p>
        </w:tc>
        <w:tc>
          <w:tcPr>
            <w:tcW w:w="1210" w:type="dxa"/>
            <w:shd w:val="clear" w:color="auto" w:fill="auto"/>
          </w:tcPr>
          <w:p w14:paraId="6642816B" w14:textId="3C74CC2E"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+7%</w:t>
            </w:r>
          </w:p>
        </w:tc>
      </w:tr>
      <w:tr w:rsidR="003D2322" w:rsidRPr="006F1B73" w14:paraId="6282D995" w14:textId="77777777" w:rsidTr="00040F93">
        <w:trPr>
          <w:trHeight w:val="311"/>
          <w:jc w:val="center"/>
        </w:trPr>
        <w:tc>
          <w:tcPr>
            <w:tcW w:w="2653" w:type="dxa"/>
            <w:shd w:val="clear" w:color="auto" w:fill="auto"/>
            <w:vAlign w:val="center"/>
          </w:tcPr>
          <w:p w14:paraId="64F0A063" w14:textId="77777777" w:rsidR="003D2322" w:rsidRPr="006F1B73" w:rsidRDefault="003D2322" w:rsidP="003D2322">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Likviditātes rādītājs (6 mēnešu saistību segums ar likvīdajiem aktīviem)</w:t>
            </w:r>
          </w:p>
        </w:tc>
        <w:tc>
          <w:tcPr>
            <w:tcW w:w="1212" w:type="dxa"/>
            <w:shd w:val="clear" w:color="auto" w:fill="auto"/>
          </w:tcPr>
          <w:p w14:paraId="7E45EB4D" w14:textId="33DB38DB"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620%</w:t>
            </w:r>
          </w:p>
        </w:tc>
        <w:tc>
          <w:tcPr>
            <w:tcW w:w="1379" w:type="dxa"/>
            <w:shd w:val="clear" w:color="auto" w:fill="auto"/>
          </w:tcPr>
          <w:p w14:paraId="5B60D40B" w14:textId="1A722762"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438%           (riska limits  &gt;=50%)</w:t>
            </w:r>
          </w:p>
        </w:tc>
        <w:tc>
          <w:tcPr>
            <w:tcW w:w="1380" w:type="dxa"/>
            <w:shd w:val="clear" w:color="auto" w:fill="auto"/>
          </w:tcPr>
          <w:p w14:paraId="2CB39991" w14:textId="2A6ACC8E"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463%</w:t>
            </w:r>
          </w:p>
        </w:tc>
        <w:tc>
          <w:tcPr>
            <w:tcW w:w="1517" w:type="dxa"/>
            <w:shd w:val="clear" w:color="auto" w:fill="auto"/>
          </w:tcPr>
          <w:p w14:paraId="011714EA" w14:textId="624C8B5A"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+25%          (pret limitu +413%)</w:t>
            </w:r>
          </w:p>
        </w:tc>
        <w:tc>
          <w:tcPr>
            <w:tcW w:w="1210" w:type="dxa"/>
            <w:shd w:val="clear" w:color="auto" w:fill="auto"/>
          </w:tcPr>
          <w:p w14:paraId="6D8A0230" w14:textId="47647E6F" w:rsidR="003D2322" w:rsidRPr="006F1B73" w:rsidRDefault="003D2322" w:rsidP="003D2322">
            <w:pPr>
              <w:widowControl w:val="0"/>
              <w:spacing w:after="0" w:line="240" w:lineRule="auto"/>
              <w:jc w:val="center"/>
              <w:rPr>
                <w:rFonts w:ascii="Times New Roman" w:eastAsia="Calibri" w:hAnsi="Times New Roman" w:cs="Times New Roman"/>
              </w:rPr>
            </w:pPr>
            <w:r w:rsidRPr="006F1B73">
              <w:rPr>
                <w:rFonts w:ascii="Times New Roman" w:hAnsi="Times New Roman" w:cs="Times New Roman"/>
              </w:rPr>
              <w:t xml:space="preserve">+6%;    </w:t>
            </w:r>
          </w:p>
        </w:tc>
      </w:tr>
      <w:tr w:rsidR="006F1B73" w:rsidRPr="006F1B73" w14:paraId="4C1EEB2D" w14:textId="77777777" w:rsidTr="00306448">
        <w:trPr>
          <w:trHeight w:val="311"/>
          <w:jc w:val="center"/>
        </w:trPr>
        <w:tc>
          <w:tcPr>
            <w:tcW w:w="2653" w:type="dxa"/>
            <w:shd w:val="clear" w:color="auto" w:fill="auto"/>
            <w:vAlign w:val="center"/>
          </w:tcPr>
          <w:p w14:paraId="50E20EF5" w14:textId="77777777" w:rsidR="006F1B73" w:rsidRPr="006F1B73" w:rsidRDefault="006F1B73" w:rsidP="006F1B73">
            <w:pPr>
              <w:widowControl w:val="0"/>
              <w:spacing w:after="0" w:line="240" w:lineRule="auto"/>
              <w:rPr>
                <w:rFonts w:ascii="Times New Roman" w:eastAsia="Calibri" w:hAnsi="Times New Roman" w:cs="Times New Roman"/>
              </w:rPr>
            </w:pPr>
            <w:r w:rsidRPr="006F1B73">
              <w:rPr>
                <w:rFonts w:ascii="Times New Roman" w:eastAsia="Calibri" w:hAnsi="Times New Roman" w:cs="Times New Roman"/>
              </w:rPr>
              <w:t>Kapitāla pietiekamības rādītājs</w:t>
            </w:r>
          </w:p>
        </w:tc>
        <w:tc>
          <w:tcPr>
            <w:tcW w:w="1212" w:type="dxa"/>
            <w:shd w:val="clear" w:color="auto" w:fill="auto"/>
          </w:tcPr>
          <w:p w14:paraId="0B64A114" w14:textId="39674174" w:rsidR="006F1B73" w:rsidRPr="006F1B73" w:rsidRDefault="006F1B73" w:rsidP="006F1B73">
            <w:pPr>
              <w:widowControl w:val="0"/>
              <w:spacing w:after="0" w:line="240" w:lineRule="auto"/>
              <w:jc w:val="center"/>
              <w:rPr>
                <w:rFonts w:ascii="Times New Roman" w:eastAsia="Calibri" w:hAnsi="Times New Roman" w:cs="Times New Roman"/>
              </w:rPr>
            </w:pPr>
            <w:r w:rsidRPr="006F1B73">
              <w:t>41.50%</w:t>
            </w:r>
          </w:p>
        </w:tc>
        <w:tc>
          <w:tcPr>
            <w:tcW w:w="1379" w:type="dxa"/>
            <w:shd w:val="clear" w:color="auto" w:fill="auto"/>
          </w:tcPr>
          <w:p w14:paraId="2E84281A" w14:textId="3EA2BF7C" w:rsidR="006F1B73" w:rsidRPr="006F1B73" w:rsidRDefault="006F1B73" w:rsidP="006F1B73">
            <w:pPr>
              <w:widowControl w:val="0"/>
              <w:spacing w:after="0" w:line="240" w:lineRule="auto"/>
              <w:jc w:val="center"/>
              <w:rPr>
                <w:rFonts w:ascii="Times New Roman" w:eastAsia="Calibri" w:hAnsi="Times New Roman" w:cs="Times New Roman"/>
              </w:rPr>
            </w:pPr>
            <w:r w:rsidRPr="006F1B73">
              <w:t xml:space="preserve">27.09%       (limits&gt;18%)      </w:t>
            </w:r>
          </w:p>
        </w:tc>
        <w:tc>
          <w:tcPr>
            <w:tcW w:w="1380" w:type="dxa"/>
            <w:shd w:val="clear" w:color="auto" w:fill="auto"/>
          </w:tcPr>
          <w:p w14:paraId="1F032AE4" w14:textId="74F26C0F" w:rsidR="006F1B73" w:rsidRPr="006F1B73" w:rsidRDefault="006F1B73" w:rsidP="006F1B73">
            <w:pPr>
              <w:widowControl w:val="0"/>
              <w:spacing w:after="0" w:line="240" w:lineRule="auto"/>
              <w:jc w:val="center"/>
              <w:rPr>
                <w:rFonts w:ascii="Times New Roman" w:eastAsia="Calibri" w:hAnsi="Times New Roman" w:cs="Times New Roman"/>
              </w:rPr>
            </w:pPr>
            <w:r w:rsidRPr="006F1B73">
              <w:t>39.19%</w:t>
            </w:r>
          </w:p>
        </w:tc>
        <w:tc>
          <w:tcPr>
            <w:tcW w:w="1517" w:type="dxa"/>
            <w:shd w:val="clear" w:color="auto" w:fill="auto"/>
          </w:tcPr>
          <w:p w14:paraId="57911E34" w14:textId="0FAA0F0C" w:rsidR="006F1B73" w:rsidRPr="006F1B73" w:rsidRDefault="006F1B73" w:rsidP="006F1B73">
            <w:pPr>
              <w:widowControl w:val="0"/>
              <w:spacing w:after="0" w:line="240" w:lineRule="auto"/>
              <w:jc w:val="center"/>
              <w:rPr>
                <w:rFonts w:ascii="Times New Roman" w:eastAsia="Calibri" w:hAnsi="Times New Roman" w:cs="Times New Roman"/>
              </w:rPr>
            </w:pPr>
            <w:r w:rsidRPr="006F1B73">
              <w:t xml:space="preserve">+12.1%       (pret limitu +21.19%)  </w:t>
            </w:r>
          </w:p>
        </w:tc>
        <w:tc>
          <w:tcPr>
            <w:tcW w:w="1210" w:type="dxa"/>
            <w:shd w:val="clear" w:color="auto" w:fill="auto"/>
          </w:tcPr>
          <w:p w14:paraId="7540A5A0" w14:textId="20B2EF9D" w:rsidR="006F1B73" w:rsidRPr="006F1B73" w:rsidRDefault="006F1B73" w:rsidP="006F1B73">
            <w:pPr>
              <w:widowControl w:val="0"/>
              <w:spacing w:after="0" w:line="240" w:lineRule="auto"/>
              <w:jc w:val="center"/>
              <w:rPr>
                <w:rFonts w:ascii="Times New Roman" w:eastAsia="Calibri" w:hAnsi="Times New Roman" w:cs="Times New Roman"/>
              </w:rPr>
            </w:pPr>
            <w:r w:rsidRPr="006F1B73">
              <w:t>+44.7%</w:t>
            </w:r>
          </w:p>
        </w:tc>
      </w:tr>
      <w:bookmarkEnd w:id="4"/>
    </w:tbl>
    <w:p w14:paraId="5D282845" w14:textId="15E8C863" w:rsidR="00D976E8" w:rsidRPr="006F1B73" w:rsidRDefault="00D976E8" w:rsidP="00D976E8">
      <w:pPr>
        <w:widowControl w:val="0"/>
        <w:spacing w:after="0" w:line="240" w:lineRule="auto"/>
        <w:rPr>
          <w:rFonts w:ascii="Times New Roman" w:eastAsia="Calibri" w:hAnsi="Times New Roman" w:cs="Times New Roman"/>
        </w:rPr>
      </w:pPr>
    </w:p>
    <w:p w14:paraId="04CF9675" w14:textId="11D7B71C" w:rsidR="009D7747" w:rsidRPr="006F1B73" w:rsidRDefault="009D7747" w:rsidP="009D7747">
      <w:pPr>
        <w:spacing w:after="120"/>
        <w:jc w:val="both"/>
        <w:rPr>
          <w:rFonts w:ascii="Times New Roman" w:hAnsi="Times New Roman"/>
          <w:sz w:val="24"/>
          <w:szCs w:val="24"/>
        </w:rPr>
      </w:pPr>
      <w:r w:rsidRPr="006F1B73">
        <w:rPr>
          <w:rFonts w:ascii="Times New Roman" w:hAnsi="Times New Roman"/>
          <w:sz w:val="24"/>
          <w:szCs w:val="24"/>
        </w:rPr>
        <w:t xml:space="preserve">Pārsniegti finanšu mērķi raksturojošie rādītāji. </w:t>
      </w:r>
    </w:p>
    <w:p w14:paraId="2ACBC9A4" w14:textId="77777777" w:rsidR="009D7747" w:rsidRPr="006F1B73" w:rsidRDefault="009D7747" w:rsidP="009D7747">
      <w:pPr>
        <w:pStyle w:val="ListParagraph"/>
        <w:numPr>
          <w:ilvl w:val="0"/>
          <w:numId w:val="1"/>
        </w:numPr>
        <w:ind w:left="357" w:hanging="357"/>
        <w:contextualSpacing w:val="0"/>
        <w:jc w:val="both"/>
        <w:rPr>
          <w:rFonts w:ascii="Times New Roman" w:hAnsi="Times New Roman"/>
          <w:sz w:val="24"/>
          <w:szCs w:val="24"/>
        </w:rPr>
      </w:pPr>
      <w:r w:rsidRPr="006F1B73">
        <w:rPr>
          <w:rFonts w:ascii="Times New Roman" w:hAnsi="Times New Roman"/>
          <w:sz w:val="24"/>
          <w:szCs w:val="24"/>
          <w:u w:val="single"/>
        </w:rPr>
        <w:t xml:space="preserve">Finanšu mērķa rādītājs Nr. 1. Pašu kapitāla </w:t>
      </w:r>
      <w:proofErr w:type="spellStart"/>
      <w:r w:rsidRPr="006F1B73">
        <w:rPr>
          <w:rFonts w:ascii="Times New Roman" w:hAnsi="Times New Roman"/>
          <w:sz w:val="24"/>
          <w:szCs w:val="24"/>
          <w:u w:val="single"/>
        </w:rPr>
        <w:t>atdeve</w:t>
      </w:r>
      <w:proofErr w:type="spellEnd"/>
      <w:r w:rsidRPr="006F1B73">
        <w:rPr>
          <w:rFonts w:ascii="Times New Roman" w:hAnsi="Times New Roman"/>
          <w:sz w:val="24"/>
          <w:szCs w:val="24"/>
          <w:u w:val="single"/>
        </w:rPr>
        <w:t xml:space="preserve"> (ROE). </w:t>
      </w:r>
    </w:p>
    <w:p w14:paraId="670368D3" w14:textId="77777777" w:rsidR="009D7747" w:rsidRPr="006F1B73" w:rsidRDefault="009D7747" w:rsidP="009D7747">
      <w:pPr>
        <w:pStyle w:val="ListParagraph"/>
        <w:spacing w:after="120"/>
        <w:ind w:left="357"/>
        <w:contextualSpacing w:val="0"/>
        <w:jc w:val="both"/>
        <w:rPr>
          <w:rFonts w:ascii="Times New Roman" w:hAnsi="Times New Roman"/>
          <w:sz w:val="24"/>
          <w:szCs w:val="24"/>
        </w:rPr>
      </w:pPr>
      <w:r w:rsidRPr="006F1B73">
        <w:rPr>
          <w:rFonts w:ascii="Times New Roman" w:hAnsi="Times New Roman"/>
          <w:sz w:val="24"/>
          <w:szCs w:val="24"/>
        </w:rPr>
        <w:t xml:space="preserve">Sasniegtais rādītājs 2.74% ir būtiski - par 2.71%, augstāks par Stratēģijā plānoto 0,03% (Budžetā plānots 0.88%). ROE aprēķināts izmantojot 2017.gada vidējo pašu kapitālu 214,679,501 EUR (31.12.2016 – 211,068,457 EUR, 31.12.2017 – 218,290,545 EUR). Rādītāja būtisku pārpildi ietekmēja daudz lielāks par plānoto pārskata gada peļņas apjoms. </w:t>
      </w:r>
    </w:p>
    <w:p w14:paraId="08D9551A" w14:textId="77777777" w:rsidR="009D7747" w:rsidRPr="006F1B73" w:rsidRDefault="009D7747" w:rsidP="009D7747">
      <w:pPr>
        <w:jc w:val="both"/>
        <w:rPr>
          <w:rFonts w:ascii="Times New Roman" w:hAnsi="Times New Roman"/>
          <w:sz w:val="24"/>
          <w:szCs w:val="24"/>
        </w:rPr>
      </w:pPr>
      <w:r w:rsidRPr="006F1B73">
        <w:rPr>
          <w:rFonts w:ascii="Times New Roman" w:hAnsi="Times New Roman"/>
          <w:sz w:val="24"/>
          <w:szCs w:val="24"/>
        </w:rPr>
        <w:t xml:space="preserve">Galveno finanšu mērķa rādītāju ietekmējošie rādītāji. </w:t>
      </w:r>
    </w:p>
    <w:p w14:paraId="14A26FE2" w14:textId="77777777" w:rsidR="009D7747" w:rsidRPr="006F1B73" w:rsidRDefault="009D7747" w:rsidP="009D7747">
      <w:pPr>
        <w:pStyle w:val="ListParagraph"/>
        <w:numPr>
          <w:ilvl w:val="0"/>
          <w:numId w:val="1"/>
        </w:numPr>
        <w:ind w:left="357" w:hanging="357"/>
        <w:contextualSpacing w:val="0"/>
        <w:jc w:val="both"/>
        <w:rPr>
          <w:rFonts w:ascii="Times New Roman" w:hAnsi="Times New Roman"/>
          <w:sz w:val="24"/>
          <w:szCs w:val="24"/>
        </w:rPr>
      </w:pPr>
      <w:r w:rsidRPr="006F1B73">
        <w:rPr>
          <w:rFonts w:ascii="Times New Roman" w:hAnsi="Times New Roman"/>
          <w:sz w:val="24"/>
          <w:szCs w:val="24"/>
          <w:u w:val="single"/>
        </w:rPr>
        <w:t xml:space="preserve">Rādītājs Nr. 2. Peļņa vai zaudējumi. </w:t>
      </w:r>
    </w:p>
    <w:p w14:paraId="36AAF5BD" w14:textId="77777777" w:rsidR="009D7747" w:rsidRPr="006F1B73" w:rsidRDefault="009D7747" w:rsidP="009D7747">
      <w:pPr>
        <w:pStyle w:val="ListParagraph"/>
        <w:ind w:left="357"/>
        <w:contextualSpacing w:val="0"/>
        <w:jc w:val="both"/>
        <w:rPr>
          <w:rFonts w:ascii="Times New Roman" w:hAnsi="Times New Roman"/>
          <w:sz w:val="24"/>
          <w:szCs w:val="24"/>
        </w:rPr>
      </w:pPr>
      <w:r w:rsidRPr="006F1B73">
        <w:rPr>
          <w:rFonts w:ascii="Times New Roman" w:hAnsi="Times New Roman"/>
          <w:sz w:val="24"/>
          <w:szCs w:val="24"/>
        </w:rPr>
        <w:t xml:space="preserve">2017.gada auditētā peļņa 5,883,500 EUR ir būtiski, par 5,802,500 EUR, augstāka par Stratēģijā plānoto 81,000 EUR (Budžetā plānots 1,868,000 EUR). </w:t>
      </w:r>
    </w:p>
    <w:p w14:paraId="57A215D2" w14:textId="77777777" w:rsidR="009D7747" w:rsidRPr="006F1B73" w:rsidRDefault="009D7747" w:rsidP="009D7747">
      <w:pPr>
        <w:pStyle w:val="ListParagraph"/>
        <w:ind w:left="357"/>
        <w:contextualSpacing w:val="0"/>
        <w:jc w:val="both"/>
        <w:rPr>
          <w:rFonts w:ascii="Times New Roman" w:hAnsi="Times New Roman"/>
          <w:sz w:val="24"/>
          <w:szCs w:val="24"/>
        </w:rPr>
      </w:pPr>
      <w:r w:rsidRPr="006F1B73">
        <w:rPr>
          <w:rFonts w:ascii="Times New Roman" w:hAnsi="Times New Roman"/>
          <w:sz w:val="24"/>
          <w:szCs w:val="24"/>
        </w:rPr>
        <w:t xml:space="preserve">Peļņas pārsniegumu pār plānoto pamatā noteica šādi faktori: </w:t>
      </w:r>
    </w:p>
    <w:p w14:paraId="002C020B" w14:textId="77777777" w:rsidR="009D7747" w:rsidRPr="006F1B73" w:rsidRDefault="009D7747" w:rsidP="009D7747">
      <w:pPr>
        <w:spacing w:after="0"/>
        <w:ind w:left="357"/>
        <w:jc w:val="both"/>
        <w:rPr>
          <w:rFonts w:ascii="Times New Roman" w:hAnsi="Times New Roman"/>
          <w:sz w:val="24"/>
          <w:szCs w:val="24"/>
        </w:rPr>
      </w:pPr>
      <w:r w:rsidRPr="006F1B73">
        <w:rPr>
          <w:rFonts w:ascii="Times New Roman" w:hAnsi="Times New Roman"/>
          <w:sz w:val="24"/>
          <w:szCs w:val="24"/>
        </w:rPr>
        <w:t xml:space="preserve">- Nekustamais īpašums Elizabetes ielā 41/43 tika pārdots par 3.87 milj. EUR virs bilances vērtības; </w:t>
      </w:r>
    </w:p>
    <w:p w14:paraId="335710ED" w14:textId="77777777" w:rsidR="009D7747" w:rsidRPr="006F1B73" w:rsidRDefault="009D7747" w:rsidP="009D7747">
      <w:pPr>
        <w:spacing w:after="0"/>
        <w:ind w:left="357"/>
        <w:jc w:val="both"/>
        <w:rPr>
          <w:rFonts w:ascii="Times New Roman" w:hAnsi="Times New Roman"/>
          <w:sz w:val="24"/>
          <w:szCs w:val="24"/>
        </w:rPr>
      </w:pPr>
      <w:r w:rsidRPr="006F1B73">
        <w:rPr>
          <w:rFonts w:ascii="Times New Roman" w:hAnsi="Times New Roman"/>
          <w:sz w:val="24"/>
          <w:szCs w:val="24"/>
        </w:rPr>
        <w:t xml:space="preserve">- atgriezti izveidotie uzkrājumi tiesvedībai ar LGA darbiniekiem 0.17 milj. EUR (pozitīvs tiesas lēmums); </w:t>
      </w:r>
    </w:p>
    <w:p w14:paraId="2E311F07" w14:textId="77777777" w:rsidR="009D7747" w:rsidRPr="006F1B73" w:rsidRDefault="009D7747" w:rsidP="009D7747">
      <w:pPr>
        <w:spacing w:after="0"/>
        <w:ind w:left="357"/>
        <w:jc w:val="both"/>
        <w:rPr>
          <w:rFonts w:ascii="Times New Roman" w:hAnsi="Times New Roman"/>
          <w:sz w:val="24"/>
          <w:szCs w:val="24"/>
        </w:rPr>
      </w:pPr>
      <w:r w:rsidRPr="006F1B73">
        <w:rPr>
          <w:rFonts w:ascii="Times New Roman" w:hAnsi="Times New Roman"/>
          <w:sz w:val="24"/>
          <w:szCs w:val="24"/>
        </w:rPr>
        <w:t xml:space="preserve">- tīrie komisijas ieņēmumi pārsniedza plānoto, un kopā ar parastās darbības izdevumu ekonomiju veidoja pozitīvu ietekmi uz budžeta izpildi 1.06 milj. EUR; </w:t>
      </w:r>
    </w:p>
    <w:p w14:paraId="2D8029FC" w14:textId="77777777" w:rsidR="009D7747" w:rsidRPr="006F1B73" w:rsidRDefault="009D7747" w:rsidP="009D7747">
      <w:pPr>
        <w:pStyle w:val="ListParagraph"/>
        <w:spacing w:after="120"/>
        <w:ind w:left="357"/>
        <w:contextualSpacing w:val="0"/>
        <w:jc w:val="both"/>
        <w:rPr>
          <w:rFonts w:ascii="Times New Roman" w:hAnsi="Times New Roman"/>
          <w:sz w:val="24"/>
          <w:szCs w:val="24"/>
        </w:rPr>
      </w:pPr>
      <w:r w:rsidRPr="006F1B73">
        <w:rPr>
          <w:rFonts w:ascii="Times New Roman" w:hAnsi="Times New Roman"/>
          <w:sz w:val="24"/>
          <w:szCs w:val="24"/>
        </w:rPr>
        <w:t xml:space="preserve">- uzkrājumu apjoms valsts atbalstam izveidots mazāks kā tika plānots, bet uzkrājumi negūtiem garantiju ieņēmumiem reversēti, kas kopā veido pozitīvu ietekmi 1.78 milj. EUR apmērā. </w:t>
      </w:r>
    </w:p>
    <w:p w14:paraId="28D7653E" w14:textId="77777777" w:rsidR="009D7747" w:rsidRPr="006F1B73" w:rsidRDefault="009D7747" w:rsidP="009D7747">
      <w:pPr>
        <w:pStyle w:val="ListParagraph"/>
        <w:numPr>
          <w:ilvl w:val="0"/>
          <w:numId w:val="1"/>
        </w:numPr>
        <w:ind w:left="357" w:hanging="357"/>
        <w:contextualSpacing w:val="0"/>
        <w:jc w:val="both"/>
        <w:rPr>
          <w:rFonts w:ascii="Times New Roman" w:hAnsi="Times New Roman"/>
          <w:sz w:val="24"/>
          <w:szCs w:val="24"/>
        </w:rPr>
      </w:pPr>
      <w:r w:rsidRPr="006F1B73">
        <w:rPr>
          <w:rFonts w:ascii="Times New Roman" w:hAnsi="Times New Roman"/>
          <w:sz w:val="24"/>
          <w:szCs w:val="24"/>
          <w:u w:val="single"/>
        </w:rPr>
        <w:t xml:space="preserve">Rādītājs Nr. 3. Pašu kapitāls. </w:t>
      </w:r>
    </w:p>
    <w:p w14:paraId="6A53B3F1" w14:textId="77777777" w:rsidR="009D7747" w:rsidRPr="006F1B73" w:rsidRDefault="009D7747" w:rsidP="009D7747">
      <w:pPr>
        <w:pStyle w:val="ListParagraph"/>
        <w:ind w:left="357"/>
        <w:jc w:val="both"/>
        <w:rPr>
          <w:rFonts w:ascii="Times New Roman" w:hAnsi="Times New Roman"/>
          <w:sz w:val="24"/>
          <w:szCs w:val="24"/>
        </w:rPr>
      </w:pPr>
      <w:r w:rsidRPr="006F1B73">
        <w:rPr>
          <w:rFonts w:ascii="Times New Roman" w:hAnsi="Times New Roman"/>
          <w:sz w:val="24"/>
          <w:szCs w:val="24"/>
        </w:rPr>
        <w:t xml:space="preserve">Mērķa rādītājs ir koriģēts uz (204,057 tūkst. EUR) ņemot vērā starpību (-14,877 tūkst. EUR) starp sākotnēji plānoto pašu kapitāla apjomu sabiedrības izveides gada beigās (215,935 tūkst. EUR) un faktisko, auditēto pašu kapitāla apjomu institūcijas </w:t>
      </w:r>
      <w:r w:rsidRPr="006F1B73">
        <w:rPr>
          <w:rFonts w:ascii="Times New Roman" w:hAnsi="Times New Roman"/>
          <w:sz w:val="24"/>
          <w:szCs w:val="24"/>
        </w:rPr>
        <w:lastRenderedPageBreak/>
        <w:t xml:space="preserve">izveides gadā (31.12.2015., 201,058 tūkst. EUR), kas ir stratēģijas īstenošanas sākuma dati. Sākotnēji plānotais pašu kapitāla apjoms tika atspoguļots bez Starptautisko grāmatvedības standartu (SGS) piemērošanas ietekmes uz pašu kapitāla lielumu uz vienotās attīstības finanšu institūcijas izveides brīdi 2015.gadā, jo auditoru skaidrojums par SGS piemērošanu sabiedrības gadījumā tika saņemts vēlāk – 2015.gada finanšu pārskata audita ietvaros (2016.gada maijā). </w:t>
      </w:r>
    </w:p>
    <w:p w14:paraId="282B1C23" w14:textId="77777777" w:rsidR="009D7747" w:rsidRPr="006F1B73" w:rsidRDefault="009D7747" w:rsidP="009D7747">
      <w:pPr>
        <w:pStyle w:val="ListParagraph"/>
        <w:ind w:left="357"/>
        <w:contextualSpacing w:val="0"/>
        <w:jc w:val="both"/>
        <w:rPr>
          <w:rFonts w:ascii="Times New Roman" w:hAnsi="Times New Roman"/>
          <w:sz w:val="24"/>
          <w:szCs w:val="24"/>
        </w:rPr>
      </w:pPr>
      <w:r w:rsidRPr="006F1B73">
        <w:rPr>
          <w:rFonts w:ascii="Times New Roman" w:hAnsi="Times New Roman"/>
          <w:sz w:val="24"/>
          <w:szCs w:val="24"/>
        </w:rPr>
        <w:t>Pateicoties ievērojami lielākai 2017.gada peļņai un rezerves kapitāla palielinājumam, 2017.gadā pašu kapitāls ir audzis par 7,222 tūkst. EUR no 211,068 tūkst. EUR līdz 218,291 tūkst. EUR, par 14,234 tūkst. EUR jeb 7% pārsniedzot mērķa rādītāju.</w:t>
      </w:r>
    </w:p>
    <w:p w14:paraId="18E340A9" w14:textId="77777777" w:rsidR="009D7747" w:rsidRPr="006F1B73" w:rsidRDefault="009D7747" w:rsidP="009D7747">
      <w:pPr>
        <w:pStyle w:val="ListParagraph"/>
        <w:ind w:left="357"/>
        <w:contextualSpacing w:val="0"/>
        <w:jc w:val="both"/>
        <w:rPr>
          <w:rFonts w:ascii="Times New Roman" w:hAnsi="Times New Roman"/>
          <w:sz w:val="24"/>
          <w:szCs w:val="24"/>
        </w:rPr>
      </w:pPr>
    </w:p>
    <w:p w14:paraId="613453FB" w14:textId="77777777" w:rsidR="009D7747" w:rsidRPr="006F1B73" w:rsidRDefault="009D7747" w:rsidP="009D7747">
      <w:pPr>
        <w:spacing w:before="120"/>
        <w:jc w:val="both"/>
        <w:rPr>
          <w:rFonts w:ascii="Times New Roman" w:hAnsi="Times New Roman"/>
          <w:sz w:val="24"/>
          <w:szCs w:val="24"/>
        </w:rPr>
      </w:pPr>
      <w:r w:rsidRPr="006F1B73">
        <w:rPr>
          <w:rFonts w:ascii="Times New Roman" w:hAnsi="Times New Roman"/>
          <w:sz w:val="24"/>
          <w:szCs w:val="24"/>
        </w:rPr>
        <w:t xml:space="preserve">Riska līmeņa rādītāji. </w:t>
      </w:r>
    </w:p>
    <w:p w14:paraId="2F86B40E" w14:textId="77777777" w:rsidR="009D7747" w:rsidRPr="006F1B73" w:rsidRDefault="009D7747" w:rsidP="009D7747">
      <w:pPr>
        <w:pStyle w:val="ListParagraph"/>
        <w:numPr>
          <w:ilvl w:val="0"/>
          <w:numId w:val="1"/>
        </w:numPr>
        <w:ind w:left="357" w:hanging="357"/>
        <w:contextualSpacing w:val="0"/>
        <w:jc w:val="both"/>
        <w:rPr>
          <w:rFonts w:ascii="Times New Roman" w:hAnsi="Times New Roman"/>
          <w:sz w:val="24"/>
          <w:szCs w:val="24"/>
        </w:rPr>
      </w:pPr>
      <w:r w:rsidRPr="006F1B73">
        <w:rPr>
          <w:rFonts w:ascii="Times New Roman" w:hAnsi="Times New Roman"/>
          <w:sz w:val="24"/>
          <w:szCs w:val="24"/>
          <w:u w:val="single"/>
        </w:rPr>
        <w:t xml:space="preserve">Rādītājs Nr. 4. Likviditātes rādītājs. </w:t>
      </w:r>
    </w:p>
    <w:p w14:paraId="5DB637D4" w14:textId="77777777" w:rsidR="009D7747" w:rsidRPr="006F1B73" w:rsidRDefault="009D7747" w:rsidP="009D7747">
      <w:pPr>
        <w:pStyle w:val="ListParagraph"/>
        <w:spacing w:after="120"/>
        <w:ind w:left="357"/>
        <w:contextualSpacing w:val="0"/>
        <w:jc w:val="both"/>
        <w:rPr>
          <w:rFonts w:ascii="Times New Roman" w:hAnsi="Times New Roman"/>
          <w:sz w:val="24"/>
          <w:szCs w:val="24"/>
        </w:rPr>
      </w:pPr>
      <w:r w:rsidRPr="006F1B73">
        <w:rPr>
          <w:rFonts w:ascii="Times New Roman" w:hAnsi="Times New Roman"/>
          <w:sz w:val="24"/>
          <w:szCs w:val="24"/>
        </w:rPr>
        <w:t xml:space="preserve">Stratēģijā likviditātes rādītājs plānots </w:t>
      </w:r>
      <w:r w:rsidRPr="006F1B73">
        <w:rPr>
          <w:rFonts w:ascii="Times New Roman" w:eastAsia="Times New Roman" w:hAnsi="Times New Roman"/>
          <w:sz w:val="24"/>
          <w:szCs w:val="24"/>
        </w:rPr>
        <w:t>438%</w:t>
      </w:r>
      <w:r w:rsidRPr="006F1B73">
        <w:rPr>
          <w:rFonts w:ascii="Times New Roman" w:hAnsi="Times New Roman"/>
          <w:sz w:val="24"/>
          <w:szCs w:val="24"/>
        </w:rPr>
        <w:t xml:space="preserve">. Risku pārvaldīšanas stratēģijā noteiktais rādītāja </w:t>
      </w:r>
      <w:r w:rsidRPr="006F1B73">
        <w:rPr>
          <w:rFonts w:ascii="Times New Roman" w:eastAsia="Times New Roman" w:hAnsi="Times New Roman"/>
          <w:sz w:val="24"/>
          <w:szCs w:val="24"/>
        </w:rPr>
        <w:t>limits &gt;=50%.</w:t>
      </w:r>
      <w:r w:rsidRPr="006F1B73">
        <w:rPr>
          <w:rFonts w:ascii="Times New Roman" w:hAnsi="Times New Roman"/>
          <w:sz w:val="24"/>
          <w:szCs w:val="24"/>
        </w:rPr>
        <w:t xml:space="preserve"> Fakts 463%, rādītāja izpilde </w:t>
      </w:r>
      <w:r w:rsidRPr="006F1B73">
        <w:rPr>
          <w:rFonts w:ascii="Times New Roman" w:eastAsia="Times New Roman" w:hAnsi="Times New Roman"/>
          <w:sz w:val="24"/>
          <w:szCs w:val="24"/>
        </w:rPr>
        <w:t xml:space="preserve">pret plānoto +6%. </w:t>
      </w:r>
      <w:r w:rsidRPr="006F1B73">
        <w:rPr>
          <w:rFonts w:ascii="Times New Roman" w:hAnsi="Times New Roman"/>
          <w:sz w:val="24"/>
          <w:szCs w:val="24"/>
        </w:rPr>
        <w:t xml:space="preserve">Finanšu institūcija likviditātes rādītāju </w:t>
      </w:r>
      <w:r w:rsidRPr="006F1B73">
        <w:rPr>
          <w:rFonts w:ascii="Times New Roman" w:eastAsia="Times New Roman" w:hAnsi="Times New Roman"/>
          <w:sz w:val="24"/>
          <w:szCs w:val="24"/>
        </w:rPr>
        <w:t>aprēķina kā 6 mēnešu saistību segumu ar likvīdajiem aktīviem.</w:t>
      </w:r>
      <w:r w:rsidRPr="006F1B73">
        <w:rPr>
          <w:rFonts w:ascii="Times New Roman" w:hAnsi="Times New Roman"/>
          <w:sz w:val="24"/>
          <w:szCs w:val="24"/>
        </w:rPr>
        <w:t xml:space="preserve"> </w:t>
      </w:r>
    </w:p>
    <w:p w14:paraId="3288A971" w14:textId="77777777" w:rsidR="009D7747" w:rsidRPr="006F1B73" w:rsidRDefault="009D7747" w:rsidP="009D7747">
      <w:pPr>
        <w:pStyle w:val="ListParagraph"/>
        <w:numPr>
          <w:ilvl w:val="0"/>
          <w:numId w:val="1"/>
        </w:numPr>
        <w:ind w:left="357" w:hanging="357"/>
        <w:contextualSpacing w:val="0"/>
        <w:jc w:val="both"/>
        <w:rPr>
          <w:rFonts w:ascii="Times New Roman" w:hAnsi="Times New Roman"/>
          <w:sz w:val="24"/>
          <w:szCs w:val="24"/>
        </w:rPr>
      </w:pPr>
      <w:r w:rsidRPr="006F1B73">
        <w:rPr>
          <w:rFonts w:ascii="Times New Roman" w:hAnsi="Times New Roman"/>
          <w:sz w:val="24"/>
          <w:szCs w:val="24"/>
          <w:u w:val="single"/>
        </w:rPr>
        <w:t xml:space="preserve">Rādītājs Nr. 5. Kapitāla pietiekamības rādītājs. </w:t>
      </w:r>
    </w:p>
    <w:p w14:paraId="443BC40B" w14:textId="3B680B32" w:rsidR="009D7747" w:rsidRPr="006F1B73" w:rsidRDefault="009D7747" w:rsidP="006F1B73">
      <w:pPr>
        <w:pStyle w:val="ListParagraph"/>
        <w:spacing w:after="240"/>
        <w:ind w:left="357"/>
        <w:contextualSpacing w:val="0"/>
        <w:jc w:val="both"/>
        <w:rPr>
          <w:rFonts w:ascii="Times New Roman" w:hAnsi="Times New Roman"/>
          <w:sz w:val="24"/>
          <w:szCs w:val="24"/>
        </w:rPr>
      </w:pPr>
      <w:r w:rsidRPr="006F1B73">
        <w:rPr>
          <w:rFonts w:ascii="Times New Roman" w:hAnsi="Times New Roman"/>
          <w:sz w:val="24"/>
          <w:szCs w:val="24"/>
        </w:rPr>
        <w:t xml:space="preserve">Kapitāla pietiekamības rādītājs 39.19% ir augstāks par Stratēģijā plānoto 27.09%. Kapitāla pietiekamības rādītāju pozitīvi ietekmēja: atbalsta programmu riska seguma pieaugums (speciālā rezerves kapitāla un riska seguma rezervju palielinājums), mazāks par plānoto riska aktīvu un ārpusbilances saistību apjoms kā arī lielākas peļņas rezultātā pieaugušais pašu kapitāls. </w:t>
      </w:r>
    </w:p>
    <w:p w14:paraId="3CCF70BB" w14:textId="7F110DDE" w:rsidR="003E1A92" w:rsidRPr="00C15387" w:rsidRDefault="003E1A92" w:rsidP="003E1A92">
      <w:pPr>
        <w:widowControl w:val="0"/>
        <w:spacing w:after="0" w:line="240" w:lineRule="auto"/>
        <w:jc w:val="both"/>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AS “Attīstības finanšu institūcija </w:t>
      </w:r>
      <w:proofErr w:type="spellStart"/>
      <w:r w:rsidRPr="00C15387">
        <w:rPr>
          <w:rFonts w:ascii="Times New Roman" w:eastAsia="Calibri" w:hAnsi="Times New Roman" w:cs="Times New Roman"/>
          <w:sz w:val="24"/>
          <w:szCs w:val="24"/>
        </w:rPr>
        <w:t>Altum</w:t>
      </w:r>
      <w:proofErr w:type="spellEnd"/>
      <w:r w:rsidRPr="00C15387">
        <w:rPr>
          <w:rFonts w:ascii="Times New Roman" w:eastAsia="Calibri" w:hAnsi="Times New Roman" w:cs="Times New Roman"/>
          <w:sz w:val="24"/>
          <w:szCs w:val="24"/>
        </w:rPr>
        <w:t>” Koncerna un atsevišķais finanšu pārskats par gadu, kas noslēdzās 201</w:t>
      </w:r>
      <w:r w:rsidR="009D7747" w:rsidRPr="00C15387">
        <w:rPr>
          <w:rFonts w:ascii="Times New Roman" w:eastAsia="Calibri" w:hAnsi="Times New Roman" w:cs="Times New Roman"/>
          <w:sz w:val="24"/>
          <w:szCs w:val="24"/>
        </w:rPr>
        <w:t>7</w:t>
      </w:r>
      <w:r w:rsidRPr="00C15387">
        <w:rPr>
          <w:rFonts w:ascii="Times New Roman" w:eastAsia="Calibri" w:hAnsi="Times New Roman" w:cs="Times New Roman"/>
          <w:sz w:val="24"/>
          <w:szCs w:val="24"/>
        </w:rPr>
        <w:t xml:space="preserve">. gada 31. decembrī, ir publiski pieejams elektroniskā veidā – interneta mājas lapā www.altum.lv, sadaļas „INVESTORIEM” </w:t>
      </w:r>
      <w:proofErr w:type="spellStart"/>
      <w:r w:rsidRPr="00C15387">
        <w:rPr>
          <w:rFonts w:ascii="Times New Roman" w:eastAsia="Calibri" w:hAnsi="Times New Roman" w:cs="Times New Roman"/>
          <w:sz w:val="24"/>
          <w:szCs w:val="24"/>
        </w:rPr>
        <w:t>apakšsadaļā</w:t>
      </w:r>
      <w:proofErr w:type="spellEnd"/>
      <w:r w:rsidRPr="00C15387">
        <w:rPr>
          <w:rFonts w:ascii="Times New Roman" w:eastAsia="Calibri" w:hAnsi="Times New Roman" w:cs="Times New Roman"/>
          <w:sz w:val="24"/>
          <w:szCs w:val="24"/>
        </w:rPr>
        <w:t xml:space="preserve"> “FINANŠU INFORMĀCIJA” un sadaļas “PAR ALTUM” </w:t>
      </w:r>
      <w:proofErr w:type="spellStart"/>
      <w:r w:rsidRPr="00C15387">
        <w:rPr>
          <w:rFonts w:ascii="Times New Roman" w:eastAsia="Calibri" w:hAnsi="Times New Roman" w:cs="Times New Roman"/>
          <w:sz w:val="24"/>
          <w:szCs w:val="24"/>
        </w:rPr>
        <w:t>apakšsadaļā</w:t>
      </w:r>
      <w:proofErr w:type="spellEnd"/>
      <w:r w:rsidRPr="00C15387">
        <w:rPr>
          <w:rFonts w:ascii="Times New Roman" w:eastAsia="Calibri" w:hAnsi="Times New Roman" w:cs="Times New Roman"/>
          <w:sz w:val="24"/>
          <w:szCs w:val="24"/>
        </w:rPr>
        <w:t xml:space="preserve"> “FINANŠU INFORMĀCIJA”. </w:t>
      </w:r>
    </w:p>
    <w:p w14:paraId="449290EC" w14:textId="5DFE53F1" w:rsidR="00D976E8" w:rsidRPr="00277CB4" w:rsidRDefault="00D91CFF" w:rsidP="002C5134">
      <w:pPr>
        <w:spacing w:before="240"/>
        <w:rPr>
          <w:rFonts w:ascii="Times New Roman" w:eastAsia="Calibri" w:hAnsi="Times New Roman" w:cs="Times New Roman"/>
          <w:highlight w:val="yellow"/>
        </w:rPr>
      </w:pPr>
      <w:bookmarkStart w:id="5" w:name="_Hlk40861618"/>
      <w:bookmarkEnd w:id="3"/>
      <w:r>
        <w:rPr>
          <w:rFonts w:ascii="Times New Roman" w:eastAsia="Calibri" w:hAnsi="Times New Roman" w:cs="Times New Roman"/>
          <w:b/>
          <w:bCs/>
          <w:sz w:val="28"/>
          <w:szCs w:val="28"/>
        </w:rPr>
        <w:t xml:space="preserve">2. </w:t>
      </w:r>
      <w:proofErr w:type="spellStart"/>
      <w:r w:rsidR="00454D96" w:rsidRPr="0033433A">
        <w:rPr>
          <w:rFonts w:ascii="Times New Roman" w:eastAsia="Calibri" w:hAnsi="Times New Roman" w:cs="Times New Roman"/>
          <w:b/>
          <w:bCs/>
          <w:sz w:val="28"/>
          <w:szCs w:val="28"/>
        </w:rPr>
        <w:t>Nef</w:t>
      </w:r>
      <w:r w:rsidR="00D976E8" w:rsidRPr="0033433A">
        <w:rPr>
          <w:rFonts w:ascii="Times New Roman" w:eastAsia="Calibri" w:hAnsi="Times New Roman" w:cs="Times New Roman"/>
          <w:b/>
          <w:bCs/>
          <w:sz w:val="28"/>
          <w:szCs w:val="28"/>
        </w:rPr>
        <w:t>inanšu</w:t>
      </w:r>
      <w:proofErr w:type="spellEnd"/>
      <w:r w:rsidR="00D976E8" w:rsidRPr="0033433A">
        <w:rPr>
          <w:rFonts w:ascii="Times New Roman" w:eastAsia="Calibri" w:hAnsi="Times New Roman" w:cs="Times New Roman"/>
          <w:b/>
          <w:bCs/>
          <w:sz w:val="28"/>
          <w:szCs w:val="28"/>
        </w:rPr>
        <w:t xml:space="preserve"> mērķi </w:t>
      </w:r>
    </w:p>
    <w:bookmarkEnd w:id="5"/>
    <w:p w14:paraId="363BF18E" w14:textId="579D0E9F" w:rsidR="006F1B73" w:rsidRPr="006F1B73" w:rsidRDefault="006F1B73" w:rsidP="00D976E8">
      <w:pPr>
        <w:tabs>
          <w:tab w:val="right" w:pos="8640"/>
        </w:tabs>
        <w:spacing w:before="120" w:after="120" w:line="276" w:lineRule="auto"/>
        <w:jc w:val="both"/>
        <w:rPr>
          <w:rFonts w:ascii="Times New Roman" w:eastAsia="Calibri" w:hAnsi="Times New Roman" w:cs="Times New Roman"/>
          <w:sz w:val="24"/>
          <w:szCs w:val="24"/>
          <w:highlight w:val="green"/>
        </w:rPr>
      </w:pPr>
      <w:r w:rsidRPr="006F1B73">
        <w:rPr>
          <w:rFonts w:ascii="Times New Roman" w:eastAsia="Calibri" w:hAnsi="Times New Roman" w:cs="Times New Roman"/>
          <w:sz w:val="24"/>
          <w:szCs w:val="24"/>
        </w:rPr>
        <w:t xml:space="preserve">ALTUM 2017.gadā ir sasniegusi stratēģijā noteiktos sabiedrības </w:t>
      </w:r>
      <w:proofErr w:type="spellStart"/>
      <w:r w:rsidRPr="006F1B73">
        <w:rPr>
          <w:rFonts w:ascii="Times New Roman" w:eastAsia="Calibri" w:hAnsi="Times New Roman" w:cs="Times New Roman"/>
          <w:sz w:val="24"/>
          <w:szCs w:val="24"/>
        </w:rPr>
        <w:t>nefinanšu</w:t>
      </w:r>
      <w:proofErr w:type="spellEnd"/>
      <w:r w:rsidRPr="006F1B73">
        <w:rPr>
          <w:rFonts w:ascii="Times New Roman" w:eastAsia="Calibri" w:hAnsi="Times New Roman" w:cs="Times New Roman"/>
          <w:sz w:val="24"/>
          <w:szCs w:val="24"/>
        </w:rPr>
        <w:t xml:space="preserve"> mērķus un izpildījusi darbības plānā noteiktos galvenos uzdevums.</w:t>
      </w:r>
    </w:p>
    <w:tbl>
      <w:tblPr>
        <w:tblW w:w="9356" w:type="dxa"/>
        <w:tblInd w:w="-577" w:type="dxa"/>
        <w:tblLook w:val="04A0" w:firstRow="1" w:lastRow="0" w:firstColumn="1" w:lastColumn="0" w:noHBand="0" w:noVBand="1"/>
      </w:tblPr>
      <w:tblGrid>
        <w:gridCol w:w="3119"/>
        <w:gridCol w:w="1276"/>
        <w:gridCol w:w="1275"/>
        <w:gridCol w:w="1134"/>
        <w:gridCol w:w="1276"/>
        <w:gridCol w:w="1276"/>
      </w:tblGrid>
      <w:tr w:rsidR="006F1B73" w:rsidRPr="006F1B73" w14:paraId="6FAB1E03" w14:textId="77777777" w:rsidTr="00EB59B3">
        <w:trPr>
          <w:trHeight w:val="448"/>
        </w:trPr>
        <w:tc>
          <w:tcPr>
            <w:tcW w:w="311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73C2D2" w14:textId="77777777" w:rsidR="006F1B73" w:rsidRPr="006F1B73" w:rsidRDefault="006F1B73" w:rsidP="006F1B73">
            <w:pPr>
              <w:spacing w:after="0" w:line="240" w:lineRule="auto"/>
              <w:jc w:val="center"/>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Mērķis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05AFBA"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2016.gadā</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3370AC"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Plānotais      2017.gadā</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766B39"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Fakts         2017.gadā</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FC4365"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DB263CA" w14:textId="77777777" w:rsidR="006F1B73" w:rsidRPr="006F1B73" w:rsidRDefault="006F1B73" w:rsidP="006F1B73">
            <w:pPr>
              <w:spacing w:after="0" w:line="240" w:lineRule="auto"/>
              <w:jc w:val="center"/>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Novirze  no plānotā, %</w:t>
            </w:r>
          </w:p>
        </w:tc>
      </w:tr>
      <w:tr w:rsidR="006F1B73" w:rsidRPr="006F1B73" w14:paraId="3C7723E8" w14:textId="77777777" w:rsidTr="00EB59B3">
        <w:trPr>
          <w:trHeight w:val="136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AB4D02"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Nr.1. Būtiski palielināt darbības apjomu no 392 (2015.g.) miljoniem līdz 767 miljoniem (2018.g.).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B5F934"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436 milj. EUR</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26118F"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617 milj. EUR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7C9AB3"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453 milj. EUR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47B9B0"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-164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AB8E18"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-27%</w:t>
            </w:r>
          </w:p>
        </w:tc>
      </w:tr>
      <w:tr w:rsidR="006F1B73" w:rsidRPr="006F1B73" w14:paraId="3F318F12" w14:textId="77777777" w:rsidTr="00EB59B3">
        <w:trPr>
          <w:trHeight w:val="18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1A9586B"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Nr.2. Veicināt finanšu resursu 1,043,042 tūkst. apmērā ieguldīšanu tautsaimniecības attīstībā īstenoto valsts atbalsta </w:t>
            </w:r>
            <w:proofErr w:type="spellStart"/>
            <w:r w:rsidRPr="006F1B73">
              <w:rPr>
                <w:rFonts w:ascii="Times New Roman" w:eastAsia="Times New Roman" w:hAnsi="Times New Roman" w:cs="Times New Roman"/>
                <w:color w:val="000000"/>
                <w:lang w:eastAsia="lv-LV"/>
              </w:rPr>
              <w:t>progr</w:t>
            </w:r>
            <w:proofErr w:type="spellEnd"/>
            <w:r w:rsidRPr="006F1B73">
              <w:rPr>
                <w:rFonts w:ascii="Times New Roman" w:eastAsia="Times New Roman" w:hAnsi="Times New Roman" w:cs="Times New Roman"/>
                <w:color w:val="000000"/>
                <w:lang w:eastAsia="lv-LV"/>
              </w:rPr>
              <w:t xml:space="preserve">. ietvaros. Vidēji 347 </w:t>
            </w:r>
            <w:proofErr w:type="spellStart"/>
            <w:r w:rsidRPr="006F1B73">
              <w:rPr>
                <w:rFonts w:ascii="Times New Roman" w:eastAsia="Times New Roman" w:hAnsi="Times New Roman" w:cs="Times New Roman"/>
                <w:color w:val="000000"/>
                <w:lang w:eastAsia="lv-LV"/>
              </w:rPr>
              <w:t>mil</w:t>
            </w:r>
            <w:proofErr w:type="spellEnd"/>
            <w:r w:rsidRPr="006F1B73">
              <w:rPr>
                <w:rFonts w:ascii="Times New Roman" w:eastAsia="Times New Roman" w:hAnsi="Times New Roman" w:cs="Times New Roman"/>
                <w:color w:val="000000"/>
                <w:lang w:eastAsia="lv-LV"/>
              </w:rPr>
              <w:t>. EUR gadā.      Milj.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8B1D23F"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360 milj. EUR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DB7866"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347 milj. EUR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6A6E621"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371 milj. EUR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D74A3F"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+24 </w:t>
            </w:r>
            <w:proofErr w:type="spellStart"/>
            <w:r w:rsidRPr="006F1B73">
              <w:rPr>
                <w:rFonts w:ascii="Times New Roman" w:eastAsia="Times New Roman" w:hAnsi="Times New Roman" w:cs="Times New Roman"/>
                <w:lang w:eastAsia="lv-LV"/>
              </w:rPr>
              <w:t>mil</w:t>
            </w:r>
            <w:proofErr w:type="spellEnd"/>
            <w:r w:rsidRPr="006F1B73">
              <w:rPr>
                <w:rFonts w:ascii="Times New Roman" w:eastAsia="Times New Roman" w:hAnsi="Times New Roman" w:cs="Times New Roman"/>
                <w:lang w:eastAsia="lv-LV"/>
              </w:rPr>
              <w:t>.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D480697"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+7%</w:t>
            </w:r>
          </w:p>
        </w:tc>
      </w:tr>
      <w:tr w:rsidR="006F1B73" w:rsidRPr="006F1B73" w14:paraId="76C4A58B" w14:textId="77777777" w:rsidTr="00EB59B3">
        <w:trPr>
          <w:trHeight w:val="84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B4A7290"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lastRenderedPageBreak/>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Nr.3. Palielināt efektivitāti.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19F407"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8B371CE"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21CDB0"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DCE1AE"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CABD15"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w:t>
            </w:r>
          </w:p>
        </w:tc>
      </w:tr>
      <w:tr w:rsidR="006F1B73" w:rsidRPr="006F1B73" w14:paraId="1BB2C987" w14:textId="77777777" w:rsidTr="00EB59B3">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10FBA4E"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Rādītājs Nr. 3.1. Administratīvie izdevumi pret vidējo atbalsta programmu apjomu,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6B4970"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2.75%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5ECEDFB"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729B0A"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2.46%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0B294D8"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+0.96%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04DD82"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+64%</w:t>
            </w:r>
          </w:p>
        </w:tc>
      </w:tr>
      <w:tr w:rsidR="006F1B73" w:rsidRPr="006F1B73" w14:paraId="0A76EB82" w14:textId="77777777" w:rsidTr="00EB59B3">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4E9F8EA"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Rādītājs Nr. 3. 2. Atbalsta programmu apjoms uz strādājošo, milj. EUR  uz strādājošo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FEFDAE"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2.1 milj. EUR  uz strādājošo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756B96D"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3.2 milj. EUR  uz strādājošo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1473CD"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2.1 milj. EUR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CAB33D8"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-1.07 </w:t>
            </w:r>
            <w:proofErr w:type="spellStart"/>
            <w:r w:rsidRPr="006F1B73">
              <w:rPr>
                <w:rFonts w:ascii="Times New Roman" w:eastAsia="Times New Roman" w:hAnsi="Times New Roman" w:cs="Times New Roman"/>
                <w:lang w:eastAsia="lv-LV"/>
              </w:rPr>
              <w:t>milj</w:t>
            </w:r>
            <w:proofErr w:type="spellEnd"/>
            <w:r w:rsidRPr="006F1B73">
              <w:rPr>
                <w:rFonts w:ascii="Times New Roman" w:eastAsia="Times New Roman" w:hAnsi="Times New Roman" w:cs="Times New Roman"/>
                <w:lang w:eastAsia="lv-LV"/>
              </w:rPr>
              <w:t xml:space="preserve"> EUR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EF0E466"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-33%    </w:t>
            </w:r>
          </w:p>
        </w:tc>
      </w:tr>
      <w:tr w:rsidR="006F1B73" w:rsidRPr="006F1B73" w14:paraId="7A146CE0" w14:textId="77777777" w:rsidTr="00EB59B3">
        <w:trPr>
          <w:trHeight w:val="93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359486"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Rādītājs Nr. 3.3.  Programmu projektu skaits uz vienu strādājošo, projekti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8F984C"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56.1 projekti uz strādājošo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0D25741"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51.3 projekti uz strādājošo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6A2291"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66.4 projekti uz strādājošo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BCF93A"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+15.1 projekti uz strādājošo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B21D23"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 +29%</w:t>
            </w:r>
          </w:p>
        </w:tc>
      </w:tr>
      <w:tr w:rsidR="006F1B73" w:rsidRPr="006F1B73" w14:paraId="6F777D63" w14:textId="77777777" w:rsidTr="00EB59B3">
        <w:trPr>
          <w:trHeight w:val="145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CA1D12C"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Nr.4. Nodrošināt izcilu apkalpošanu klientiem.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E2724D"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Pozitīvs ārējais novērtē- jums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847F4C7"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Pozitīvs novērtē-jums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8632FD"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Pozitīvs ārējais novērtē- jums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5ECC56"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 xml:space="preserve">Izpildīts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DD1AA19"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Izpildīts</w:t>
            </w:r>
          </w:p>
        </w:tc>
      </w:tr>
      <w:tr w:rsidR="006F1B73" w:rsidRPr="006F1B73" w14:paraId="396F3274" w14:textId="77777777" w:rsidTr="00EB59B3">
        <w:trPr>
          <w:trHeight w:val="1266"/>
        </w:trPr>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61225FD" w14:textId="77777777" w:rsidR="006F1B73" w:rsidRPr="006F1B73" w:rsidRDefault="006F1B73" w:rsidP="006F1B73">
            <w:pPr>
              <w:spacing w:after="0" w:line="240" w:lineRule="auto"/>
              <w:rPr>
                <w:rFonts w:ascii="Times New Roman" w:eastAsia="Times New Roman" w:hAnsi="Times New Roman" w:cs="Times New Roman"/>
                <w:color w:val="000000"/>
                <w:lang w:eastAsia="lv-LV"/>
              </w:rPr>
            </w:pPr>
            <w:r w:rsidRPr="006F1B73">
              <w:rPr>
                <w:rFonts w:ascii="Times New Roman" w:eastAsia="Times New Roman" w:hAnsi="Times New Roman" w:cs="Times New Roman"/>
                <w:color w:val="000000"/>
                <w:lang w:eastAsia="lv-LV"/>
              </w:rPr>
              <w:t xml:space="preserve">Stratēģijā minētais </w:t>
            </w:r>
            <w:proofErr w:type="spellStart"/>
            <w:r w:rsidRPr="006F1B73">
              <w:rPr>
                <w:rFonts w:ascii="Times New Roman" w:eastAsia="Times New Roman" w:hAnsi="Times New Roman" w:cs="Times New Roman"/>
                <w:color w:val="000000"/>
                <w:lang w:eastAsia="lv-LV"/>
              </w:rPr>
              <w:t>nefinanšu</w:t>
            </w:r>
            <w:proofErr w:type="spellEnd"/>
            <w:r w:rsidRPr="006F1B73">
              <w:rPr>
                <w:rFonts w:ascii="Times New Roman" w:eastAsia="Times New Roman" w:hAnsi="Times New Roman" w:cs="Times New Roman"/>
                <w:color w:val="000000"/>
                <w:lang w:eastAsia="lv-LV"/>
              </w:rPr>
              <w:t xml:space="preserve"> mērķis Nr.5. Ieviest jaunus valsts atbalsta instrumentus, tostarp:</w:t>
            </w:r>
            <w:r w:rsidRPr="006F1B73">
              <w:rPr>
                <w:rFonts w:ascii="Times New Roman" w:eastAsia="Times New Roman" w:hAnsi="Times New Roman" w:cs="Times New Roman"/>
                <w:color w:val="000000"/>
                <w:lang w:eastAsia="lv-LV"/>
              </w:rPr>
              <w:br w:type="page"/>
              <w:t xml:space="preserve">- Fondu fonda pārvaldi, </w:t>
            </w:r>
            <w:r w:rsidRPr="006F1B73">
              <w:rPr>
                <w:rFonts w:ascii="Times New Roman" w:eastAsia="Times New Roman" w:hAnsi="Times New Roman" w:cs="Times New Roman"/>
                <w:color w:val="000000"/>
                <w:lang w:eastAsia="lv-LV"/>
              </w:rPr>
              <w:br w:type="page"/>
              <w:t xml:space="preserve">- EFSI programmas, </w:t>
            </w:r>
            <w:r w:rsidRPr="006F1B73">
              <w:rPr>
                <w:rFonts w:ascii="Times New Roman" w:eastAsia="Times New Roman" w:hAnsi="Times New Roman" w:cs="Times New Roman"/>
                <w:color w:val="000000"/>
                <w:lang w:eastAsia="lv-LV"/>
              </w:rPr>
              <w:br w:type="page"/>
              <w:t xml:space="preserve">- DME programmas, </w:t>
            </w:r>
            <w:r w:rsidRPr="006F1B73">
              <w:rPr>
                <w:rFonts w:ascii="Times New Roman" w:eastAsia="Times New Roman" w:hAnsi="Times New Roman" w:cs="Times New Roman"/>
                <w:color w:val="000000"/>
                <w:lang w:eastAsia="lv-LV"/>
              </w:rPr>
              <w:br w:type="page"/>
              <w:t>- reversās l/s zemes nomas pakalpojumus u.c.</w:t>
            </w:r>
          </w:p>
        </w:tc>
        <w:tc>
          <w:tcPr>
            <w:tcW w:w="1276" w:type="dxa"/>
            <w:tcBorders>
              <w:top w:val="single" w:sz="4" w:space="0" w:color="auto"/>
              <w:left w:val="nil"/>
              <w:bottom w:val="single" w:sz="8" w:space="0" w:color="auto"/>
              <w:right w:val="single" w:sz="8" w:space="0" w:color="auto"/>
            </w:tcBorders>
            <w:shd w:val="clear" w:color="auto" w:fill="auto"/>
            <w:hideMark/>
          </w:tcPr>
          <w:p w14:paraId="114851D3"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Plānotie atbalsta instr.  ieviesti</w:t>
            </w:r>
          </w:p>
        </w:tc>
        <w:tc>
          <w:tcPr>
            <w:tcW w:w="1275" w:type="dxa"/>
            <w:tcBorders>
              <w:top w:val="single" w:sz="4" w:space="0" w:color="auto"/>
              <w:left w:val="nil"/>
              <w:bottom w:val="single" w:sz="8" w:space="0" w:color="auto"/>
              <w:right w:val="single" w:sz="8" w:space="0" w:color="auto"/>
            </w:tcBorders>
            <w:shd w:val="clear" w:color="auto" w:fill="auto"/>
            <w:hideMark/>
          </w:tcPr>
          <w:p w14:paraId="1E77C93F"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Ieviest jaunus atbalsta instr. atbilstoši Darbības plānam</w:t>
            </w:r>
          </w:p>
        </w:tc>
        <w:tc>
          <w:tcPr>
            <w:tcW w:w="1134" w:type="dxa"/>
            <w:tcBorders>
              <w:top w:val="single" w:sz="4" w:space="0" w:color="auto"/>
              <w:left w:val="nil"/>
              <w:bottom w:val="single" w:sz="8" w:space="0" w:color="auto"/>
              <w:right w:val="single" w:sz="8" w:space="0" w:color="auto"/>
            </w:tcBorders>
            <w:shd w:val="clear" w:color="auto" w:fill="auto"/>
            <w:hideMark/>
          </w:tcPr>
          <w:p w14:paraId="74703533"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Ieviesti jauni atbalsta instr. atbilstoši Darbības plānam</w:t>
            </w:r>
          </w:p>
        </w:tc>
        <w:tc>
          <w:tcPr>
            <w:tcW w:w="1276" w:type="dxa"/>
            <w:tcBorders>
              <w:top w:val="single" w:sz="4" w:space="0" w:color="auto"/>
              <w:left w:val="nil"/>
              <w:bottom w:val="single" w:sz="8" w:space="0" w:color="auto"/>
              <w:right w:val="single" w:sz="8" w:space="0" w:color="auto"/>
            </w:tcBorders>
            <w:shd w:val="clear" w:color="auto" w:fill="auto"/>
            <w:hideMark/>
          </w:tcPr>
          <w:p w14:paraId="0FB5D207"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Izpildīts</w:t>
            </w:r>
          </w:p>
        </w:tc>
        <w:tc>
          <w:tcPr>
            <w:tcW w:w="1276" w:type="dxa"/>
            <w:tcBorders>
              <w:top w:val="single" w:sz="4" w:space="0" w:color="auto"/>
              <w:left w:val="nil"/>
              <w:bottom w:val="single" w:sz="8" w:space="0" w:color="auto"/>
              <w:right w:val="single" w:sz="8" w:space="0" w:color="auto"/>
            </w:tcBorders>
            <w:shd w:val="clear" w:color="auto" w:fill="auto"/>
            <w:hideMark/>
          </w:tcPr>
          <w:p w14:paraId="4D470A9E" w14:textId="77777777" w:rsidR="006F1B73" w:rsidRPr="006F1B73" w:rsidRDefault="006F1B73" w:rsidP="006F1B73">
            <w:pPr>
              <w:spacing w:after="0" w:line="240" w:lineRule="auto"/>
              <w:jc w:val="right"/>
              <w:rPr>
                <w:rFonts w:ascii="Times New Roman" w:eastAsia="Times New Roman" w:hAnsi="Times New Roman" w:cs="Times New Roman"/>
                <w:lang w:eastAsia="lv-LV"/>
              </w:rPr>
            </w:pPr>
            <w:r w:rsidRPr="006F1B73">
              <w:rPr>
                <w:rFonts w:ascii="Times New Roman" w:eastAsia="Times New Roman" w:hAnsi="Times New Roman" w:cs="Times New Roman"/>
                <w:lang w:eastAsia="lv-LV"/>
              </w:rPr>
              <w:t>Izpildīts</w:t>
            </w:r>
          </w:p>
        </w:tc>
      </w:tr>
    </w:tbl>
    <w:p w14:paraId="6E262CDE" w14:textId="77777777" w:rsidR="006F1B73" w:rsidRPr="006F1B73" w:rsidRDefault="006F1B73" w:rsidP="00F91F43">
      <w:pPr>
        <w:spacing w:after="120"/>
        <w:jc w:val="both"/>
        <w:rPr>
          <w:rFonts w:ascii="Times New Roman" w:eastAsia="Times New Roman" w:hAnsi="Times New Roman"/>
          <w:highlight w:val="yellow"/>
          <w:u w:val="single"/>
        </w:rPr>
      </w:pPr>
    </w:p>
    <w:p w14:paraId="58991D5C" w14:textId="77777777" w:rsidR="00E81C20" w:rsidRPr="009D00C4" w:rsidRDefault="00E81C20" w:rsidP="00E81C20">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1. Būtiski palielināt darbības apjomu no 392 (2015.g.) miljoniem līdz 767 miljoniem (</w:t>
      </w:r>
      <w:r>
        <w:rPr>
          <w:rFonts w:ascii="Times New Roman" w:eastAsia="Times New Roman" w:hAnsi="Times New Roman"/>
          <w:sz w:val="24"/>
          <w:szCs w:val="24"/>
          <w:u w:val="single"/>
        </w:rPr>
        <w:t>01.01.2019</w:t>
      </w:r>
      <w:r w:rsidRPr="009D00C4">
        <w:rPr>
          <w:rFonts w:ascii="Times New Roman" w:eastAsia="Times New Roman" w:hAnsi="Times New Roman"/>
          <w:sz w:val="24"/>
          <w:szCs w:val="24"/>
          <w:u w:val="single"/>
        </w:rPr>
        <w:t>.g.)</w:t>
      </w:r>
      <w:r w:rsidRPr="009D00C4">
        <w:rPr>
          <w:rFonts w:ascii="Times New Roman" w:hAnsi="Times New Roman"/>
          <w:sz w:val="24"/>
          <w:szCs w:val="24"/>
          <w:u w:val="single"/>
        </w:rPr>
        <w:t xml:space="preserve">. </w:t>
      </w:r>
    </w:p>
    <w:p w14:paraId="05083674" w14:textId="77777777" w:rsidR="00E81C20" w:rsidRPr="00684BBF" w:rsidRDefault="00E81C20" w:rsidP="00E81C20">
      <w:pPr>
        <w:pStyle w:val="ListParagraph"/>
        <w:spacing w:after="120"/>
        <w:ind w:left="357"/>
        <w:jc w:val="both"/>
        <w:rPr>
          <w:rFonts w:ascii="Times New Roman" w:eastAsia="Times New Roman" w:hAnsi="Times New Roman"/>
          <w:sz w:val="24"/>
          <w:szCs w:val="24"/>
        </w:rPr>
      </w:pPr>
      <w:r w:rsidRPr="00FF4333">
        <w:rPr>
          <w:rFonts w:ascii="Times New Roman" w:eastAsia="Times New Roman" w:hAnsi="Times New Roman"/>
          <w:sz w:val="24"/>
          <w:szCs w:val="24"/>
        </w:rPr>
        <w:t>Darbības apjoms</w:t>
      </w:r>
      <w:r>
        <w:rPr>
          <w:rFonts w:ascii="Times New Roman" w:eastAsia="Times New Roman" w:hAnsi="Times New Roman"/>
          <w:sz w:val="24"/>
          <w:szCs w:val="24"/>
        </w:rPr>
        <w:t xml:space="preserve"> pārskata gadā</w:t>
      </w:r>
      <w:r w:rsidRPr="00FF4333">
        <w:rPr>
          <w:rFonts w:ascii="Times New Roman" w:eastAsia="Times New Roman" w:hAnsi="Times New Roman"/>
          <w:sz w:val="24"/>
          <w:szCs w:val="24"/>
        </w:rPr>
        <w:t xml:space="preserve"> pieauga </w:t>
      </w:r>
      <w:r w:rsidRPr="00A41F42">
        <w:rPr>
          <w:rFonts w:ascii="Times New Roman" w:eastAsia="Times New Roman" w:hAnsi="Times New Roman"/>
          <w:sz w:val="24"/>
          <w:szCs w:val="24"/>
        </w:rPr>
        <w:t>par 4.4%, sasniedzot 45</w:t>
      </w:r>
      <w:r>
        <w:rPr>
          <w:rFonts w:ascii="Times New Roman" w:eastAsia="Times New Roman" w:hAnsi="Times New Roman"/>
          <w:sz w:val="24"/>
          <w:szCs w:val="24"/>
        </w:rPr>
        <w:t>3</w:t>
      </w:r>
      <w:r w:rsidRPr="00A41F42">
        <w:rPr>
          <w:rFonts w:ascii="Times New Roman" w:eastAsia="Times New Roman" w:hAnsi="Times New Roman"/>
          <w:sz w:val="24"/>
          <w:szCs w:val="24"/>
        </w:rPr>
        <w:t xml:space="preserve"> milj. EUR, projektu skaits</w:t>
      </w:r>
      <w:r>
        <w:rPr>
          <w:rFonts w:ascii="Times New Roman" w:eastAsia="Times New Roman" w:hAnsi="Times New Roman"/>
          <w:sz w:val="24"/>
          <w:szCs w:val="24"/>
        </w:rPr>
        <w:t xml:space="preserve"> par</w:t>
      </w:r>
      <w:r w:rsidRPr="00A41F42">
        <w:rPr>
          <w:rFonts w:ascii="Times New Roman" w:eastAsia="Times New Roman" w:hAnsi="Times New Roman"/>
          <w:sz w:val="24"/>
          <w:szCs w:val="24"/>
        </w:rPr>
        <w:t xml:space="preserve"> 26%, sasniedzot 14,402 projektu. Sasniegt</w:t>
      </w:r>
      <w:r>
        <w:rPr>
          <w:rFonts w:ascii="Times New Roman" w:eastAsia="Times New Roman" w:hAnsi="Times New Roman"/>
          <w:sz w:val="24"/>
          <w:szCs w:val="24"/>
        </w:rPr>
        <w:t>i</w:t>
      </w:r>
      <w:r w:rsidRPr="00A41F42">
        <w:rPr>
          <w:rFonts w:ascii="Times New Roman" w:eastAsia="Times New Roman" w:hAnsi="Times New Roman"/>
          <w:sz w:val="24"/>
          <w:szCs w:val="24"/>
        </w:rPr>
        <w:t xml:space="preserve"> 86% no Budžetā plānotā apjoma (527 milj. EUR) un 7</w:t>
      </w:r>
      <w:r>
        <w:rPr>
          <w:rFonts w:ascii="Times New Roman" w:eastAsia="Times New Roman" w:hAnsi="Times New Roman"/>
          <w:sz w:val="24"/>
          <w:szCs w:val="24"/>
        </w:rPr>
        <w:t>3</w:t>
      </w:r>
      <w:r w:rsidRPr="00A41F42">
        <w:rPr>
          <w:rFonts w:ascii="Times New Roman" w:eastAsia="Times New Roman" w:hAnsi="Times New Roman"/>
          <w:sz w:val="24"/>
          <w:szCs w:val="24"/>
        </w:rPr>
        <w:t>% no Stratēģijā plānotā apjoma.</w:t>
      </w:r>
      <w:r>
        <w:rPr>
          <w:rFonts w:ascii="Times New Roman" w:eastAsia="Times New Roman" w:hAnsi="Times New Roman"/>
          <w:sz w:val="24"/>
          <w:szCs w:val="24"/>
        </w:rPr>
        <w:t xml:space="preserve"> </w:t>
      </w:r>
    </w:p>
    <w:p w14:paraId="271DC66D" w14:textId="223BC19D" w:rsidR="00E81C20" w:rsidRDefault="00E81C20" w:rsidP="00E81C20">
      <w:pPr>
        <w:pStyle w:val="ListParagraph"/>
        <w:spacing w:after="120"/>
        <w:ind w:left="357"/>
        <w:contextualSpacing w:val="0"/>
        <w:jc w:val="both"/>
        <w:rPr>
          <w:rFonts w:ascii="Times New Roman" w:eastAsia="Times New Roman" w:hAnsi="Times New Roman"/>
          <w:sz w:val="24"/>
          <w:szCs w:val="24"/>
        </w:rPr>
      </w:pPr>
      <w:r>
        <w:rPr>
          <w:rFonts w:ascii="Times New Roman" w:eastAsia="Times New Roman" w:hAnsi="Times New Roman"/>
          <w:sz w:val="24"/>
          <w:szCs w:val="24"/>
        </w:rPr>
        <w:t>Attiecībā uz šo rādītāju jānorāda, ka</w:t>
      </w:r>
      <w:r w:rsidRPr="00B611BF">
        <w:rPr>
          <w:rFonts w:ascii="Times New Roman" w:eastAsia="Times New Roman" w:hAnsi="Times New Roman"/>
          <w:sz w:val="24"/>
          <w:szCs w:val="24"/>
        </w:rPr>
        <w:t xml:space="preserve"> </w:t>
      </w:r>
      <w:r>
        <w:rPr>
          <w:rFonts w:ascii="Times New Roman" w:eastAsia="Times New Roman" w:hAnsi="Times New Roman"/>
          <w:sz w:val="24"/>
          <w:szCs w:val="24"/>
        </w:rPr>
        <w:t>a</w:t>
      </w:r>
      <w:r w:rsidRPr="00B611BF">
        <w:rPr>
          <w:rFonts w:ascii="Times New Roman" w:eastAsia="Times New Roman" w:hAnsi="Times New Roman"/>
          <w:sz w:val="24"/>
          <w:szCs w:val="24"/>
        </w:rPr>
        <w:t>tsevišķas programmas Ministru kabinetā tika apstiprinātas vēlāk par plānoto (</w:t>
      </w:r>
      <w:r>
        <w:rPr>
          <w:rFonts w:ascii="Times New Roman" w:eastAsia="Times New Roman" w:hAnsi="Times New Roman"/>
          <w:sz w:val="24"/>
          <w:szCs w:val="24"/>
        </w:rPr>
        <w:t xml:space="preserve">piemēram, </w:t>
      </w:r>
      <w:r w:rsidRPr="00B611BF">
        <w:rPr>
          <w:rFonts w:ascii="Times New Roman" w:eastAsia="Times New Roman" w:hAnsi="Times New Roman"/>
          <w:sz w:val="24"/>
          <w:szCs w:val="24"/>
        </w:rPr>
        <w:t>Vidēja un ilgtermiņa eksporta garantiju programma, Daudzdzīvokļu māju siltināšanas programma, Sociālās uzņēmējdarbība programma, Fondu fonda programmas</w:t>
      </w:r>
      <w:r>
        <w:rPr>
          <w:rFonts w:ascii="Times New Roman" w:eastAsia="Times New Roman" w:hAnsi="Times New Roman"/>
          <w:sz w:val="24"/>
          <w:szCs w:val="24"/>
        </w:rPr>
        <w:t>, portfeļa garantijas</w:t>
      </w:r>
      <w:r w:rsidRPr="00B611BF">
        <w:rPr>
          <w:rFonts w:ascii="Times New Roman" w:eastAsia="Times New Roman" w:hAnsi="Times New Roman"/>
          <w:sz w:val="24"/>
          <w:szCs w:val="24"/>
        </w:rPr>
        <w:t>), līdz ar to, finanšu instrumentu īstenošana šajās programmās tika uzsākta vēlāk un tie nevarēja atstāt plānoto ietekmi uz darbības apjom</w:t>
      </w:r>
      <w:r>
        <w:rPr>
          <w:rFonts w:ascii="Times New Roman" w:eastAsia="Times New Roman" w:hAnsi="Times New Roman"/>
          <w:sz w:val="24"/>
          <w:szCs w:val="24"/>
        </w:rPr>
        <w:t>u</w:t>
      </w:r>
      <w:r w:rsidRPr="00B611BF">
        <w:rPr>
          <w:rFonts w:ascii="Times New Roman" w:eastAsia="Times New Roman" w:hAnsi="Times New Roman"/>
          <w:sz w:val="24"/>
          <w:szCs w:val="24"/>
        </w:rPr>
        <w:t>.</w:t>
      </w:r>
      <w:r>
        <w:rPr>
          <w:rFonts w:ascii="Times New Roman" w:eastAsia="Times New Roman" w:hAnsi="Times New Roman"/>
          <w:sz w:val="24"/>
          <w:szCs w:val="24"/>
        </w:rPr>
        <w:t xml:space="preserve"> </w:t>
      </w:r>
      <w:r w:rsidR="00F83F02">
        <w:rPr>
          <w:rFonts w:ascii="Times New Roman" w:eastAsia="Times New Roman" w:hAnsi="Times New Roman"/>
          <w:sz w:val="24"/>
          <w:szCs w:val="24"/>
        </w:rPr>
        <w:t xml:space="preserve">Rādītājs pārskata gadā nav piemērojams. </w:t>
      </w:r>
    </w:p>
    <w:p w14:paraId="3C52059C" w14:textId="77777777" w:rsidR="00E81C20" w:rsidRPr="009D00C4" w:rsidRDefault="00E81C20" w:rsidP="00E81C20">
      <w:pPr>
        <w:pStyle w:val="ListParagraph"/>
        <w:numPr>
          <w:ilvl w:val="0"/>
          <w:numId w:val="1"/>
        </w:numPr>
        <w:ind w:left="357" w:hanging="357"/>
        <w:contextualSpacing w:val="0"/>
        <w:jc w:val="both"/>
        <w:rPr>
          <w:rFonts w:ascii="Times New Roman" w:hAnsi="Times New Roman"/>
          <w:sz w:val="24"/>
          <w:szCs w:val="24"/>
          <w:u w:val="single"/>
        </w:rPr>
      </w:pPr>
      <w:proofErr w:type="spellStart"/>
      <w:r w:rsidRPr="009E715A">
        <w:rPr>
          <w:rFonts w:ascii="Times New Roman" w:eastAsia="Times New Roman" w:hAnsi="Times New Roman"/>
          <w:sz w:val="24"/>
          <w:szCs w:val="24"/>
          <w:u w:val="single"/>
        </w:rPr>
        <w:t>Nefinanšu</w:t>
      </w:r>
      <w:proofErr w:type="spellEnd"/>
      <w:r w:rsidRPr="009E715A">
        <w:rPr>
          <w:rFonts w:ascii="Times New Roman" w:eastAsia="Times New Roman" w:hAnsi="Times New Roman"/>
          <w:sz w:val="24"/>
          <w:szCs w:val="24"/>
          <w:u w:val="single"/>
        </w:rPr>
        <w:t xml:space="preserve"> mērķis Nr. 2. Veicināt finanšu resursu 1,043,042 tūkstoši apmērā ieguldīšanu tautsaimniecības attīstībā īstenoto valsts atbalsta programmu ietvaros</w:t>
      </w:r>
      <w:r w:rsidRPr="009E715A">
        <w:rPr>
          <w:rFonts w:ascii="Times New Roman" w:eastAsia="Times New Roman" w:hAnsi="Times New Roman"/>
          <w:sz w:val="24"/>
          <w:szCs w:val="24"/>
        </w:rPr>
        <w:t xml:space="preserve"> (vidēji 347 milj. EUR gadā)</w:t>
      </w:r>
      <w:r w:rsidRPr="009E715A">
        <w:rPr>
          <w:rFonts w:ascii="Times New Roman" w:hAnsi="Times New Roman"/>
          <w:sz w:val="24"/>
          <w:szCs w:val="24"/>
        </w:rPr>
        <w:t xml:space="preserve">. </w:t>
      </w:r>
    </w:p>
    <w:p w14:paraId="31AE0C7C" w14:textId="77777777" w:rsidR="00E81C20" w:rsidRPr="009E715A" w:rsidRDefault="00E81C20" w:rsidP="00E81C20">
      <w:pPr>
        <w:pStyle w:val="ListParagraph"/>
        <w:spacing w:after="120"/>
        <w:ind w:left="357"/>
        <w:contextualSpacing w:val="0"/>
        <w:jc w:val="both"/>
        <w:rPr>
          <w:rFonts w:ascii="Times New Roman" w:hAnsi="Times New Roman"/>
          <w:sz w:val="24"/>
          <w:szCs w:val="24"/>
        </w:rPr>
      </w:pPr>
      <w:r w:rsidRPr="009E715A">
        <w:rPr>
          <w:rFonts w:ascii="Times New Roman" w:hAnsi="Times New Roman"/>
          <w:sz w:val="24"/>
          <w:szCs w:val="24"/>
        </w:rPr>
        <w:t xml:space="preserve">Programmu ietvaros piešķirts finansējums 123.1 milj. eiro apjomā, kopējais atbalstīto projektu skaits 4697. Ņemot vērā citu kreditoru finansējumu un projektu īstenotāju pašu līdzfinansējumu, 2017.gadā </w:t>
      </w:r>
      <w:proofErr w:type="spellStart"/>
      <w:r w:rsidRPr="009E715A">
        <w:rPr>
          <w:rFonts w:ascii="Times New Roman" w:hAnsi="Times New Roman"/>
          <w:sz w:val="24"/>
          <w:szCs w:val="24"/>
        </w:rPr>
        <w:t>Altum</w:t>
      </w:r>
      <w:proofErr w:type="spellEnd"/>
      <w:r w:rsidRPr="009E715A">
        <w:rPr>
          <w:rFonts w:ascii="Times New Roman" w:hAnsi="Times New Roman"/>
          <w:sz w:val="24"/>
          <w:szCs w:val="24"/>
        </w:rPr>
        <w:t xml:space="preserve"> veicinājis 3</w:t>
      </w:r>
      <w:r>
        <w:rPr>
          <w:rFonts w:ascii="Times New Roman" w:hAnsi="Times New Roman"/>
          <w:sz w:val="24"/>
          <w:szCs w:val="24"/>
        </w:rPr>
        <w:t>71</w:t>
      </w:r>
      <w:r w:rsidRPr="009E715A">
        <w:rPr>
          <w:rFonts w:ascii="Times New Roman" w:hAnsi="Times New Roman"/>
          <w:sz w:val="24"/>
          <w:szCs w:val="24"/>
        </w:rPr>
        <w:t xml:space="preserve"> milj. EUR ieguldīšanu tautsaimniecībā, kas par </w:t>
      </w:r>
      <w:r>
        <w:rPr>
          <w:rFonts w:ascii="Times New Roman" w:hAnsi="Times New Roman"/>
          <w:sz w:val="24"/>
          <w:szCs w:val="24"/>
        </w:rPr>
        <w:t>24</w:t>
      </w:r>
      <w:r w:rsidRPr="009E715A">
        <w:rPr>
          <w:rFonts w:ascii="Times New Roman" w:hAnsi="Times New Roman"/>
          <w:sz w:val="24"/>
          <w:szCs w:val="24"/>
        </w:rPr>
        <w:t xml:space="preserve"> milj. EUR jeb </w:t>
      </w:r>
      <w:r>
        <w:rPr>
          <w:rFonts w:ascii="Times New Roman" w:hAnsi="Times New Roman"/>
          <w:sz w:val="24"/>
          <w:szCs w:val="24"/>
        </w:rPr>
        <w:t>7</w:t>
      </w:r>
      <w:r w:rsidRPr="009E715A">
        <w:rPr>
          <w:rFonts w:ascii="Times New Roman" w:hAnsi="Times New Roman"/>
          <w:sz w:val="24"/>
          <w:szCs w:val="24"/>
        </w:rPr>
        <w:t xml:space="preserve">% pārsniedz mērķa rādītāju. </w:t>
      </w:r>
    </w:p>
    <w:p w14:paraId="7D21D094" w14:textId="77777777" w:rsidR="00E81C20" w:rsidRPr="009D00C4" w:rsidRDefault="00E81C20" w:rsidP="00E81C20">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3. Palielināt efektivitāti.</w:t>
      </w:r>
      <w:r w:rsidRPr="009D00C4">
        <w:rPr>
          <w:rFonts w:ascii="Times New Roman" w:hAnsi="Times New Roman"/>
          <w:sz w:val="24"/>
          <w:szCs w:val="24"/>
          <w:u w:val="single"/>
        </w:rPr>
        <w:t xml:space="preserve"> </w:t>
      </w:r>
    </w:p>
    <w:p w14:paraId="154BAE50" w14:textId="77777777" w:rsidR="00E81C20" w:rsidRPr="00E1610E" w:rsidRDefault="00E81C20" w:rsidP="00E81C20">
      <w:pPr>
        <w:pStyle w:val="ListParagraph"/>
        <w:spacing w:after="120"/>
        <w:ind w:left="357"/>
        <w:jc w:val="both"/>
        <w:rPr>
          <w:rFonts w:ascii="Times New Roman" w:hAnsi="Times New Roman"/>
          <w:sz w:val="24"/>
          <w:szCs w:val="24"/>
        </w:rPr>
      </w:pPr>
      <w:r w:rsidRPr="00E1610E">
        <w:rPr>
          <w:rFonts w:ascii="Times New Roman" w:hAnsi="Times New Roman"/>
          <w:sz w:val="24"/>
          <w:szCs w:val="24"/>
        </w:rPr>
        <w:t xml:space="preserve">2017.gadā palielināta darbības efektivitāte: </w:t>
      </w:r>
    </w:p>
    <w:p w14:paraId="136ADFF3" w14:textId="77777777" w:rsidR="00E81C20" w:rsidRDefault="00E81C20" w:rsidP="00E81C20">
      <w:pPr>
        <w:pStyle w:val="ListParagraph"/>
        <w:ind w:left="357"/>
        <w:contextualSpacing w:val="0"/>
        <w:jc w:val="both"/>
        <w:rPr>
          <w:rFonts w:ascii="Times New Roman" w:hAnsi="Times New Roman"/>
          <w:sz w:val="24"/>
          <w:szCs w:val="24"/>
        </w:rPr>
      </w:pPr>
      <w:r w:rsidRPr="00E1610E">
        <w:rPr>
          <w:rFonts w:ascii="Times New Roman" w:hAnsi="Times New Roman"/>
          <w:sz w:val="24"/>
          <w:szCs w:val="24"/>
        </w:rPr>
        <w:t xml:space="preserve">- </w:t>
      </w:r>
      <w:r w:rsidRPr="009E715A">
        <w:rPr>
          <w:rFonts w:ascii="Times New Roman" w:hAnsi="Times New Roman"/>
          <w:sz w:val="24"/>
          <w:szCs w:val="24"/>
        </w:rPr>
        <w:t>līdz 2.1 milj. EUR pieaudzis atbalsta programmu apjoms un līdz 66.4 projektiem projektu skaits uz strādājošo; kopējais darbības apjoms palielināts par 4.4%.</w:t>
      </w:r>
      <w:r>
        <w:rPr>
          <w:rFonts w:ascii="Times New Roman" w:hAnsi="Times New Roman"/>
          <w:sz w:val="24"/>
          <w:szCs w:val="24"/>
        </w:rPr>
        <w:t xml:space="preserve"> </w:t>
      </w:r>
    </w:p>
    <w:p w14:paraId="061E1930" w14:textId="77777777" w:rsidR="00E81C20" w:rsidRDefault="00E81C20" w:rsidP="00E81C20">
      <w:pPr>
        <w:pStyle w:val="ListParagraph"/>
        <w:ind w:left="357"/>
        <w:contextualSpacing w:val="0"/>
        <w:jc w:val="both"/>
        <w:rPr>
          <w:rFonts w:ascii="Times New Roman" w:hAnsi="Times New Roman"/>
          <w:sz w:val="24"/>
          <w:szCs w:val="24"/>
        </w:rPr>
      </w:pPr>
      <w:r w:rsidRPr="009E715A">
        <w:rPr>
          <w:rFonts w:ascii="Times New Roman" w:hAnsi="Times New Roman"/>
          <w:sz w:val="24"/>
          <w:szCs w:val="24"/>
        </w:rPr>
        <w:lastRenderedPageBreak/>
        <w:t xml:space="preserve">- Ieviešot pilnvarojuma garantijas, paātrināts garantiju piešķiršanas process. </w:t>
      </w:r>
    </w:p>
    <w:p w14:paraId="4BB90AD9" w14:textId="77777777" w:rsidR="00E81C20" w:rsidRDefault="00E81C20" w:rsidP="00E81C20">
      <w:pPr>
        <w:pStyle w:val="ListParagraph"/>
        <w:ind w:left="357"/>
        <w:contextualSpacing w:val="0"/>
        <w:jc w:val="both"/>
        <w:rPr>
          <w:rFonts w:ascii="Times New Roman" w:hAnsi="Times New Roman"/>
          <w:sz w:val="24"/>
          <w:szCs w:val="24"/>
        </w:rPr>
      </w:pPr>
      <w:r w:rsidRPr="009E715A">
        <w:rPr>
          <w:rFonts w:ascii="Times New Roman" w:hAnsi="Times New Roman"/>
          <w:sz w:val="24"/>
          <w:szCs w:val="24"/>
        </w:rPr>
        <w:t>- Maksimālā vienas garantijas summa ir palielināta līdz 3 milj. eiro līdzšinējo 1.5 milj. eiro vietā.</w:t>
      </w:r>
    </w:p>
    <w:p w14:paraId="14E1FA74" w14:textId="77777777" w:rsidR="00E81C20" w:rsidRDefault="00E81C20" w:rsidP="00E81C20">
      <w:pPr>
        <w:pStyle w:val="ListParagraph"/>
        <w:ind w:left="357"/>
        <w:contextualSpacing w:val="0"/>
        <w:jc w:val="both"/>
        <w:rPr>
          <w:rFonts w:ascii="Times New Roman" w:hAnsi="Times New Roman"/>
          <w:sz w:val="24"/>
          <w:szCs w:val="24"/>
        </w:rPr>
      </w:pPr>
      <w:r w:rsidRPr="009E715A">
        <w:rPr>
          <w:rFonts w:ascii="Times New Roman" w:hAnsi="Times New Roman"/>
          <w:sz w:val="24"/>
          <w:szCs w:val="24"/>
        </w:rPr>
        <w:t>- Programmu vadības izmaksu optimizācijas rezultātā, finanšu instrumentu portfeļiem pieaugot par 4.4 % (19 milj. EUR), administratīvie izdevumi pret vidējo atbalsta programmu apjomu samazinājušies par 0.29% (no 2.75%  līdz 2.46%).</w:t>
      </w:r>
    </w:p>
    <w:p w14:paraId="3C5202E4" w14:textId="77777777" w:rsidR="00E81C20" w:rsidRPr="007220EA" w:rsidRDefault="00E81C20" w:rsidP="00E81C20">
      <w:pPr>
        <w:pStyle w:val="ListParagraph"/>
        <w:spacing w:after="120"/>
        <w:ind w:left="357"/>
        <w:contextualSpacing w:val="0"/>
        <w:jc w:val="both"/>
        <w:rPr>
          <w:rFonts w:ascii="Times New Roman" w:hAnsi="Times New Roman"/>
          <w:sz w:val="24"/>
          <w:szCs w:val="24"/>
        </w:rPr>
      </w:pPr>
      <w:r w:rsidRPr="009E715A">
        <w:rPr>
          <w:rFonts w:ascii="Times New Roman" w:hAnsi="Times New Roman"/>
          <w:sz w:val="24"/>
          <w:szCs w:val="24"/>
        </w:rPr>
        <w:t xml:space="preserve">Efektivitātes </w:t>
      </w:r>
      <w:proofErr w:type="spellStart"/>
      <w:r w:rsidRPr="009E715A">
        <w:rPr>
          <w:rFonts w:ascii="Times New Roman" w:hAnsi="Times New Roman"/>
          <w:sz w:val="24"/>
          <w:szCs w:val="24"/>
        </w:rPr>
        <w:t>nefinanšu</w:t>
      </w:r>
      <w:proofErr w:type="spellEnd"/>
      <w:r w:rsidRPr="009E715A">
        <w:rPr>
          <w:rFonts w:ascii="Times New Roman" w:hAnsi="Times New Roman"/>
          <w:sz w:val="24"/>
          <w:szCs w:val="24"/>
        </w:rPr>
        <w:t xml:space="preserve"> mērķa rādītāji pārskata gadā nav piemērojami, jo īstenojamo programmu finanšu instrumentu apjomu būtiski ietekmēja atsevišķu programmu vēlāka par Stratēģijā plānoto apstiprināšana Ministru kabinetā</w:t>
      </w:r>
      <w:r w:rsidRPr="00293EDA">
        <w:rPr>
          <w:rFonts w:ascii="Times New Roman" w:hAnsi="Times New Roman"/>
          <w:sz w:val="24"/>
          <w:szCs w:val="24"/>
        </w:rPr>
        <w:t>.</w:t>
      </w:r>
    </w:p>
    <w:p w14:paraId="3145BAFF" w14:textId="77777777" w:rsidR="00E81C20" w:rsidRPr="009D00C4" w:rsidRDefault="00E81C20" w:rsidP="00E81C20">
      <w:pPr>
        <w:pStyle w:val="ListParagraph"/>
        <w:numPr>
          <w:ilvl w:val="0"/>
          <w:numId w:val="1"/>
        </w:numPr>
        <w:spacing w:after="120"/>
        <w:ind w:left="357" w:hanging="357"/>
        <w:jc w:val="both"/>
        <w:rPr>
          <w:rFonts w:ascii="Times New Roman" w:hAnsi="Times New Roman"/>
          <w:sz w:val="24"/>
          <w:szCs w:val="24"/>
          <w:u w:val="single"/>
        </w:rPr>
      </w:pPr>
      <w:proofErr w:type="spellStart"/>
      <w:r w:rsidRPr="009D00C4">
        <w:rPr>
          <w:rFonts w:ascii="Times New Roman" w:eastAsia="Times New Roman" w:hAnsi="Times New Roman"/>
          <w:sz w:val="24"/>
          <w:szCs w:val="24"/>
          <w:u w:val="single"/>
        </w:rPr>
        <w:t>Nefinanšu</w:t>
      </w:r>
      <w:proofErr w:type="spellEnd"/>
      <w:r w:rsidRPr="009D00C4">
        <w:rPr>
          <w:rFonts w:ascii="Times New Roman" w:eastAsia="Times New Roman" w:hAnsi="Times New Roman"/>
          <w:sz w:val="24"/>
          <w:szCs w:val="24"/>
          <w:u w:val="single"/>
        </w:rPr>
        <w:t xml:space="preserve"> mērķis Nr. 4. Nodrošināt izcilu apkalpošanu klientiem.</w:t>
      </w:r>
      <w:r w:rsidRPr="009D00C4">
        <w:rPr>
          <w:rFonts w:ascii="Times New Roman" w:hAnsi="Times New Roman"/>
          <w:sz w:val="24"/>
          <w:szCs w:val="24"/>
          <w:u w:val="single"/>
        </w:rPr>
        <w:t xml:space="preserve"> </w:t>
      </w:r>
    </w:p>
    <w:p w14:paraId="5B239E21" w14:textId="77777777" w:rsidR="00E81C20" w:rsidRPr="00604378" w:rsidRDefault="00E81C20" w:rsidP="00E81C20">
      <w:pPr>
        <w:pStyle w:val="ListParagraph"/>
        <w:spacing w:after="120"/>
        <w:ind w:left="357"/>
        <w:jc w:val="both"/>
        <w:rPr>
          <w:rFonts w:ascii="Times New Roman" w:hAnsi="Times New Roman"/>
          <w:sz w:val="24"/>
          <w:szCs w:val="24"/>
        </w:rPr>
      </w:pPr>
      <w:proofErr w:type="spellStart"/>
      <w:r w:rsidRPr="00604378">
        <w:rPr>
          <w:rFonts w:ascii="Times New Roman" w:hAnsi="Times New Roman"/>
          <w:sz w:val="24"/>
          <w:szCs w:val="24"/>
        </w:rPr>
        <w:t>Altum</w:t>
      </w:r>
      <w:proofErr w:type="spellEnd"/>
      <w:r w:rsidRPr="00604378">
        <w:rPr>
          <w:rFonts w:ascii="Times New Roman" w:hAnsi="Times New Roman"/>
          <w:sz w:val="24"/>
          <w:szCs w:val="24"/>
        </w:rPr>
        <w:t xml:space="preserve"> strādājis atbilstoši augstiem klientu apkalpošanas standartiem. </w:t>
      </w:r>
    </w:p>
    <w:p w14:paraId="00763B7F" w14:textId="77777777" w:rsidR="00E81C20" w:rsidRPr="00D02260" w:rsidRDefault="00E81C20" w:rsidP="00E81C20">
      <w:pPr>
        <w:pStyle w:val="ListParagraph"/>
        <w:spacing w:after="120"/>
        <w:ind w:left="357"/>
        <w:jc w:val="both"/>
        <w:rPr>
          <w:rFonts w:ascii="Times New Roman" w:hAnsi="Times New Roman"/>
          <w:sz w:val="24"/>
          <w:szCs w:val="24"/>
        </w:rPr>
      </w:pPr>
      <w:r>
        <w:rPr>
          <w:rFonts w:ascii="Times New Roman" w:hAnsi="Times New Roman"/>
          <w:sz w:val="24"/>
          <w:szCs w:val="24"/>
        </w:rPr>
        <w:t>-</w:t>
      </w:r>
      <w:r w:rsidRPr="00D02260">
        <w:rPr>
          <w:rFonts w:ascii="Times New Roman" w:hAnsi="Times New Roman"/>
          <w:sz w:val="24"/>
          <w:szCs w:val="24"/>
        </w:rPr>
        <w:t xml:space="preserve"> 2017.gadā </w:t>
      </w:r>
      <w:proofErr w:type="spellStart"/>
      <w:r w:rsidRPr="00D02260">
        <w:rPr>
          <w:rFonts w:ascii="Times New Roman" w:hAnsi="Times New Roman"/>
          <w:sz w:val="24"/>
          <w:szCs w:val="24"/>
        </w:rPr>
        <w:t>Altum</w:t>
      </w:r>
      <w:proofErr w:type="spellEnd"/>
      <w:r w:rsidRPr="00D02260">
        <w:rPr>
          <w:rFonts w:ascii="Times New Roman" w:hAnsi="Times New Roman"/>
          <w:sz w:val="24"/>
          <w:szCs w:val="24"/>
        </w:rPr>
        <w:t xml:space="preserve"> saņēma balvu "Par izcilību valsts un pašvaldību pakalpojumu sniegšanā"</w:t>
      </w:r>
      <w:r>
        <w:rPr>
          <w:rFonts w:ascii="Times New Roman" w:hAnsi="Times New Roman"/>
          <w:sz w:val="24"/>
          <w:szCs w:val="24"/>
        </w:rPr>
        <w:t>,</w:t>
      </w:r>
      <w:r w:rsidRPr="00D02260">
        <w:rPr>
          <w:rFonts w:ascii="Times New Roman" w:hAnsi="Times New Roman"/>
          <w:sz w:val="24"/>
          <w:szCs w:val="24"/>
        </w:rPr>
        <w:t xml:space="preserve"> starp valsts un pašvaldību pakalpojumu sniedzējiem iegūstot augstāko vērtējumu visas kampaņas ietvaros (98,7%). </w:t>
      </w:r>
    </w:p>
    <w:p w14:paraId="52D53301" w14:textId="77777777" w:rsidR="00E81C20" w:rsidRPr="00604378" w:rsidRDefault="00E81C20" w:rsidP="00E81C20">
      <w:pPr>
        <w:pStyle w:val="ListParagraph"/>
        <w:spacing w:after="120"/>
        <w:ind w:left="357"/>
        <w:contextualSpacing w:val="0"/>
        <w:jc w:val="both"/>
        <w:rPr>
          <w:rFonts w:ascii="Times New Roman" w:hAnsi="Times New Roman"/>
          <w:sz w:val="24"/>
          <w:szCs w:val="24"/>
        </w:rPr>
      </w:pPr>
      <w:r>
        <w:rPr>
          <w:rFonts w:ascii="Times New Roman" w:hAnsi="Times New Roman"/>
          <w:sz w:val="24"/>
          <w:szCs w:val="24"/>
        </w:rPr>
        <w:t>-</w:t>
      </w:r>
      <w:r w:rsidRPr="00D02260">
        <w:rPr>
          <w:rFonts w:ascii="Times New Roman" w:hAnsi="Times New Roman"/>
          <w:sz w:val="24"/>
          <w:szCs w:val="24"/>
        </w:rPr>
        <w:t xml:space="preserve"> Klientu servisa mēneša ietvaros pēc "Slepen</w:t>
      </w:r>
      <w:r>
        <w:rPr>
          <w:rFonts w:ascii="Times New Roman" w:hAnsi="Times New Roman"/>
          <w:sz w:val="24"/>
          <w:szCs w:val="24"/>
        </w:rPr>
        <w:t>ā pircēja" pētījuma rezultātiem</w:t>
      </w:r>
      <w:r w:rsidRPr="00D02260">
        <w:rPr>
          <w:rFonts w:ascii="Times New Roman" w:hAnsi="Times New Roman"/>
          <w:sz w:val="24"/>
          <w:szCs w:val="24"/>
        </w:rPr>
        <w:t xml:space="preserve"> saņemts augstākais slepenā pircēja vērtējums (100%).</w:t>
      </w:r>
      <w:r>
        <w:rPr>
          <w:rFonts w:ascii="Times New Roman" w:hAnsi="Times New Roman"/>
          <w:sz w:val="24"/>
          <w:szCs w:val="24"/>
        </w:rPr>
        <w:t xml:space="preserve"> </w:t>
      </w:r>
    </w:p>
    <w:p w14:paraId="58128C39" w14:textId="77777777" w:rsidR="00E81C20" w:rsidRPr="0019743F" w:rsidRDefault="00E81C20" w:rsidP="00E81C20">
      <w:pPr>
        <w:pStyle w:val="ListParagraph"/>
        <w:numPr>
          <w:ilvl w:val="0"/>
          <w:numId w:val="1"/>
        </w:numPr>
        <w:ind w:left="357" w:hanging="357"/>
        <w:contextualSpacing w:val="0"/>
        <w:jc w:val="both"/>
        <w:rPr>
          <w:rFonts w:ascii="Times New Roman" w:hAnsi="Times New Roman"/>
          <w:sz w:val="24"/>
          <w:szCs w:val="24"/>
          <w:u w:val="single"/>
        </w:rPr>
      </w:pPr>
      <w:proofErr w:type="spellStart"/>
      <w:r w:rsidRPr="0019743F">
        <w:rPr>
          <w:rFonts w:ascii="Times New Roman" w:eastAsia="Times New Roman" w:hAnsi="Times New Roman"/>
          <w:sz w:val="24"/>
          <w:szCs w:val="24"/>
          <w:u w:val="single"/>
        </w:rPr>
        <w:t>Nefinanšu</w:t>
      </w:r>
      <w:proofErr w:type="spellEnd"/>
      <w:r w:rsidRPr="0019743F">
        <w:rPr>
          <w:rFonts w:ascii="Times New Roman" w:eastAsia="Times New Roman" w:hAnsi="Times New Roman"/>
          <w:sz w:val="24"/>
          <w:szCs w:val="24"/>
          <w:u w:val="single"/>
        </w:rPr>
        <w:t xml:space="preserve"> mērķis Nr. 5. Ieviest jaunus valsts atbalsta instrumentus, tostarp: Fondu fonda pārvaldi, EFSI programmas, DME programmas, reversās l/s zemes nomas pakalpojumus u.c.</w:t>
      </w:r>
      <w:r w:rsidRPr="0019743F">
        <w:rPr>
          <w:rFonts w:ascii="Times New Roman" w:hAnsi="Times New Roman"/>
          <w:sz w:val="24"/>
          <w:szCs w:val="24"/>
          <w:u w:val="single"/>
        </w:rPr>
        <w:t xml:space="preserve"> </w:t>
      </w:r>
    </w:p>
    <w:p w14:paraId="5A9A4A5C" w14:textId="77777777" w:rsidR="00E81C20" w:rsidRPr="00593120" w:rsidRDefault="00E81C20" w:rsidP="00E81C20">
      <w:pPr>
        <w:pStyle w:val="ListParagraph"/>
        <w:ind w:left="357"/>
        <w:contextualSpacing w:val="0"/>
        <w:jc w:val="both"/>
        <w:rPr>
          <w:rFonts w:ascii="Times New Roman" w:hAnsi="Times New Roman"/>
          <w:sz w:val="24"/>
          <w:szCs w:val="24"/>
        </w:rPr>
      </w:pPr>
      <w:r>
        <w:rPr>
          <w:rFonts w:ascii="Times New Roman" w:hAnsi="Times New Roman"/>
          <w:sz w:val="24"/>
          <w:szCs w:val="24"/>
        </w:rPr>
        <w:t>Pārskata gadā ieviesti jauni instrumenti un pakalpojumi:</w:t>
      </w:r>
      <w:r w:rsidRPr="00593120">
        <w:rPr>
          <w:rFonts w:ascii="Times New Roman" w:hAnsi="Times New Roman"/>
          <w:sz w:val="24"/>
          <w:szCs w:val="24"/>
        </w:rPr>
        <w:t xml:space="preserve"> </w:t>
      </w:r>
    </w:p>
    <w:p w14:paraId="6C239B96" w14:textId="77777777" w:rsidR="00E81C20" w:rsidRPr="00694E4B" w:rsidRDefault="00E81C20" w:rsidP="00E81C20">
      <w:pPr>
        <w:pStyle w:val="ListParagraph"/>
        <w:spacing w:after="120"/>
        <w:ind w:left="357"/>
        <w:jc w:val="both"/>
        <w:rPr>
          <w:rFonts w:ascii="Times New Roman" w:hAnsi="Times New Roman"/>
          <w:bCs/>
          <w:sz w:val="24"/>
          <w:szCs w:val="24"/>
        </w:rPr>
      </w:pPr>
      <w:r>
        <w:rPr>
          <w:rFonts w:ascii="Times New Roman" w:hAnsi="Times New Roman"/>
          <w:bCs/>
          <w:sz w:val="24"/>
          <w:szCs w:val="24"/>
        </w:rPr>
        <w:t>- 2017.gadā Sabiedrība</w:t>
      </w:r>
      <w:r w:rsidRPr="006D17E2">
        <w:rPr>
          <w:rFonts w:ascii="Times New Roman" w:hAnsi="Times New Roman"/>
          <w:bCs/>
          <w:sz w:val="24"/>
          <w:szCs w:val="24"/>
        </w:rPr>
        <w:t xml:space="preserve"> veica pārvedamu parāda vērtspapīru obligāciju emisiju programmas veidā, to iegrāmatošanu Latvijas Centrālajā depozitārijā un kotācijas uzsākšanu </w:t>
      </w:r>
      <w:proofErr w:type="spellStart"/>
      <w:r w:rsidRPr="006D17E2">
        <w:rPr>
          <w:rFonts w:ascii="Times New Roman" w:hAnsi="Times New Roman"/>
          <w:bCs/>
          <w:sz w:val="24"/>
          <w:szCs w:val="24"/>
        </w:rPr>
        <w:t>Nasdaq</w:t>
      </w:r>
      <w:proofErr w:type="spellEnd"/>
      <w:r w:rsidRPr="006D17E2">
        <w:rPr>
          <w:rFonts w:ascii="Times New Roman" w:hAnsi="Times New Roman"/>
          <w:bCs/>
          <w:sz w:val="24"/>
          <w:szCs w:val="24"/>
        </w:rPr>
        <w:t xml:space="preserve"> </w:t>
      </w:r>
      <w:proofErr w:type="spellStart"/>
      <w:r w:rsidRPr="006D17E2">
        <w:rPr>
          <w:rFonts w:ascii="Times New Roman" w:hAnsi="Times New Roman"/>
          <w:bCs/>
          <w:sz w:val="24"/>
          <w:szCs w:val="24"/>
        </w:rPr>
        <w:t>Riga</w:t>
      </w:r>
      <w:proofErr w:type="spellEnd"/>
      <w:r w:rsidRPr="006D17E2">
        <w:rPr>
          <w:rFonts w:ascii="Times New Roman" w:hAnsi="Times New Roman"/>
          <w:bCs/>
          <w:sz w:val="24"/>
          <w:szCs w:val="24"/>
        </w:rPr>
        <w:t xml:space="preserve"> par kopējo apjomu nominālvērtībā 20 milj. eiro, kļūstot par pirmo Centrālās un Austrumeiropas nacionālo valstu attīstības institūciju, kas izlaidusi zaļās obligācijas. Ar šo obligāciju emisiju</w:t>
      </w:r>
      <w:r>
        <w:rPr>
          <w:rFonts w:ascii="Times New Roman" w:hAnsi="Times New Roman"/>
          <w:bCs/>
          <w:sz w:val="24"/>
          <w:szCs w:val="24"/>
        </w:rPr>
        <w:t xml:space="preserve"> Sabiedrība</w:t>
      </w:r>
      <w:r w:rsidRPr="006D17E2">
        <w:rPr>
          <w:rFonts w:ascii="Times New Roman" w:hAnsi="Times New Roman"/>
          <w:bCs/>
          <w:sz w:val="24"/>
          <w:szCs w:val="24"/>
        </w:rPr>
        <w:t xml:space="preserve"> ir uzsākusi ilgtermiņa dalību kapitāla tirgos, lai aktīvi tajos piedalītos un turpinātu diversificēt pies</w:t>
      </w:r>
      <w:r>
        <w:rPr>
          <w:rFonts w:ascii="Times New Roman" w:hAnsi="Times New Roman"/>
          <w:bCs/>
          <w:sz w:val="24"/>
          <w:szCs w:val="24"/>
        </w:rPr>
        <w:t xml:space="preserve">aistītā finansējuma struktūru. </w:t>
      </w:r>
      <w:r w:rsidRPr="00694E4B">
        <w:rPr>
          <w:rFonts w:ascii="Times New Roman" w:hAnsi="Times New Roman"/>
          <w:bCs/>
          <w:sz w:val="24"/>
          <w:szCs w:val="24"/>
        </w:rPr>
        <w:t>Par Sabiedrības Zaļo obligāciju ietvaru</w:t>
      </w:r>
      <w:r>
        <w:rPr>
          <w:rFonts w:ascii="Times New Roman" w:hAnsi="Times New Roman"/>
          <w:bCs/>
          <w:sz w:val="24"/>
          <w:szCs w:val="24"/>
        </w:rPr>
        <w:t>,</w:t>
      </w:r>
      <w:r w:rsidRPr="00694E4B">
        <w:rPr>
          <w:rFonts w:ascii="Times New Roman" w:hAnsi="Times New Roman"/>
          <w:bCs/>
          <w:sz w:val="24"/>
          <w:szCs w:val="24"/>
        </w:rPr>
        <w:t xml:space="preserve"> emisijas</w:t>
      </w:r>
      <w:r>
        <w:rPr>
          <w:rFonts w:ascii="Times New Roman" w:hAnsi="Times New Roman"/>
          <w:bCs/>
          <w:sz w:val="24"/>
          <w:szCs w:val="24"/>
        </w:rPr>
        <w:t xml:space="preserve"> rezultātā</w:t>
      </w:r>
      <w:r w:rsidRPr="00694E4B">
        <w:rPr>
          <w:rFonts w:ascii="Times New Roman" w:hAnsi="Times New Roman"/>
          <w:bCs/>
          <w:sz w:val="24"/>
          <w:szCs w:val="24"/>
        </w:rPr>
        <w:t xml:space="preserve"> iegūto līdzekļu finanšu pārvaldība</w:t>
      </w:r>
      <w:r>
        <w:rPr>
          <w:rFonts w:ascii="Times New Roman" w:hAnsi="Times New Roman"/>
          <w:bCs/>
          <w:sz w:val="24"/>
          <w:szCs w:val="24"/>
        </w:rPr>
        <w:t>s</w:t>
      </w:r>
      <w:r w:rsidRPr="00694E4B">
        <w:rPr>
          <w:rFonts w:ascii="Times New Roman" w:hAnsi="Times New Roman"/>
          <w:bCs/>
          <w:sz w:val="24"/>
          <w:szCs w:val="24"/>
        </w:rPr>
        <w:t xml:space="preserve"> un atskaitīšanās sistēma</w:t>
      </w:r>
      <w:r>
        <w:rPr>
          <w:rFonts w:ascii="Times New Roman" w:hAnsi="Times New Roman"/>
          <w:bCs/>
          <w:sz w:val="24"/>
          <w:szCs w:val="24"/>
        </w:rPr>
        <w:t>s</w:t>
      </w:r>
      <w:r w:rsidRPr="00694E4B">
        <w:rPr>
          <w:rFonts w:ascii="Times New Roman" w:hAnsi="Times New Roman"/>
          <w:bCs/>
          <w:sz w:val="24"/>
          <w:szCs w:val="24"/>
        </w:rPr>
        <w:t xml:space="preserve"> atbilst</w:t>
      </w:r>
      <w:r>
        <w:rPr>
          <w:rFonts w:ascii="Times New Roman" w:hAnsi="Times New Roman"/>
          <w:bCs/>
          <w:sz w:val="24"/>
          <w:szCs w:val="24"/>
        </w:rPr>
        <w:t>ību</w:t>
      </w:r>
      <w:r w:rsidRPr="00694E4B">
        <w:rPr>
          <w:rFonts w:ascii="Times New Roman" w:hAnsi="Times New Roman"/>
          <w:bCs/>
          <w:sz w:val="24"/>
          <w:szCs w:val="24"/>
        </w:rPr>
        <w:t xml:space="preserve"> augstiem standartiem neatkarīgu atzinumu ir </w:t>
      </w:r>
      <w:r>
        <w:rPr>
          <w:rFonts w:ascii="Times New Roman" w:hAnsi="Times New Roman"/>
          <w:bCs/>
          <w:sz w:val="24"/>
          <w:szCs w:val="24"/>
        </w:rPr>
        <w:t>sniedzis</w:t>
      </w:r>
      <w:r w:rsidRPr="00694E4B">
        <w:rPr>
          <w:rFonts w:ascii="Times New Roman" w:hAnsi="Times New Roman"/>
          <w:bCs/>
          <w:sz w:val="24"/>
          <w:szCs w:val="24"/>
        </w:rPr>
        <w:t xml:space="preserve"> Starptautiskais klimata un vides izpētes centrs Oslo - CICERO (</w:t>
      </w:r>
      <w:proofErr w:type="spellStart"/>
      <w:r w:rsidRPr="00694E4B">
        <w:rPr>
          <w:rFonts w:ascii="Times New Roman" w:hAnsi="Times New Roman"/>
          <w:bCs/>
          <w:sz w:val="24"/>
          <w:szCs w:val="24"/>
        </w:rPr>
        <w:t>Center</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for</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International</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Climate</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and</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Environmental</w:t>
      </w:r>
      <w:proofErr w:type="spellEnd"/>
      <w:r w:rsidRPr="00694E4B">
        <w:rPr>
          <w:rFonts w:ascii="Times New Roman" w:hAnsi="Times New Roman"/>
          <w:bCs/>
          <w:sz w:val="24"/>
          <w:szCs w:val="24"/>
        </w:rPr>
        <w:t xml:space="preserve"> </w:t>
      </w:r>
      <w:proofErr w:type="spellStart"/>
      <w:r w:rsidRPr="00694E4B">
        <w:rPr>
          <w:rFonts w:ascii="Times New Roman" w:hAnsi="Times New Roman"/>
          <w:bCs/>
          <w:sz w:val="24"/>
          <w:szCs w:val="24"/>
        </w:rPr>
        <w:t>Research</w:t>
      </w:r>
      <w:proofErr w:type="spellEnd"/>
      <w:r w:rsidRPr="00694E4B">
        <w:rPr>
          <w:rFonts w:ascii="Times New Roman" w:hAnsi="Times New Roman"/>
          <w:bCs/>
          <w:sz w:val="24"/>
          <w:szCs w:val="24"/>
        </w:rPr>
        <w:t xml:space="preserve">), kas ir neatkarīgs Norvēģijas starpnozaru klimata pētniecības institūts. </w:t>
      </w:r>
    </w:p>
    <w:p w14:paraId="2D14C679" w14:textId="77777777" w:rsidR="00E81C20" w:rsidRPr="006D17E2"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t xml:space="preserve">- 2017.gada 15.jūnijā starptautiskā kredītu reitingu aģentūra </w:t>
      </w:r>
      <w:proofErr w:type="spellStart"/>
      <w:r w:rsidRPr="006D17E2">
        <w:rPr>
          <w:rFonts w:ascii="Times New Roman" w:hAnsi="Times New Roman"/>
          <w:bCs/>
          <w:sz w:val="24"/>
          <w:szCs w:val="24"/>
        </w:rPr>
        <w:t>Moody’s</w:t>
      </w:r>
      <w:proofErr w:type="spellEnd"/>
      <w:r w:rsidRPr="006D17E2">
        <w:rPr>
          <w:rFonts w:ascii="Times New Roman" w:hAnsi="Times New Roman"/>
          <w:bCs/>
          <w:sz w:val="24"/>
          <w:szCs w:val="24"/>
        </w:rPr>
        <w:t xml:space="preserve"> Investor</w:t>
      </w:r>
      <w:r>
        <w:rPr>
          <w:rFonts w:ascii="Times New Roman" w:hAnsi="Times New Roman"/>
          <w:bCs/>
          <w:sz w:val="24"/>
          <w:szCs w:val="24"/>
        </w:rPr>
        <w:t xml:space="preserve">s </w:t>
      </w:r>
      <w:proofErr w:type="spellStart"/>
      <w:r>
        <w:rPr>
          <w:rFonts w:ascii="Times New Roman" w:hAnsi="Times New Roman"/>
          <w:bCs/>
          <w:sz w:val="24"/>
          <w:szCs w:val="24"/>
        </w:rPr>
        <w:t>Service</w:t>
      </w:r>
      <w:proofErr w:type="spellEnd"/>
      <w:r>
        <w:rPr>
          <w:rFonts w:ascii="Times New Roman" w:hAnsi="Times New Roman"/>
          <w:bCs/>
          <w:sz w:val="24"/>
          <w:szCs w:val="24"/>
        </w:rPr>
        <w:t xml:space="preserve"> ir piešķīrusi </w:t>
      </w:r>
      <w:proofErr w:type="spellStart"/>
      <w:r>
        <w:rPr>
          <w:rFonts w:ascii="Times New Roman" w:hAnsi="Times New Roman"/>
          <w:bCs/>
          <w:sz w:val="24"/>
          <w:szCs w:val="24"/>
        </w:rPr>
        <w:t>Altum</w:t>
      </w:r>
      <w:proofErr w:type="spellEnd"/>
      <w:r w:rsidRPr="006D17E2">
        <w:rPr>
          <w:rFonts w:ascii="Times New Roman" w:hAnsi="Times New Roman"/>
          <w:bCs/>
          <w:sz w:val="24"/>
          <w:szCs w:val="24"/>
        </w:rPr>
        <w:t xml:space="preserve"> ilgtermiņa kredītreitingu Baa1, ar stabilu perspektīvas novērtējumu. Piešķirtais reitings ir viens no augstākajiem Latvijas kapitālsabiedrībām piešķirtajiem reitingiem. </w:t>
      </w:r>
    </w:p>
    <w:p w14:paraId="110EE8E6" w14:textId="77777777" w:rsidR="00E81C20" w:rsidRPr="006D17E2"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t>- Ieviests jauns garantiju piešķiršanas risinājums - pilnvarojuma garantijas.</w:t>
      </w:r>
      <w:r>
        <w:rPr>
          <w:rFonts w:ascii="Times New Roman" w:hAnsi="Times New Roman"/>
          <w:bCs/>
          <w:sz w:val="24"/>
          <w:szCs w:val="24"/>
        </w:rPr>
        <w:t xml:space="preserve"> </w:t>
      </w:r>
    </w:p>
    <w:p w14:paraId="04098A56" w14:textId="77777777" w:rsidR="00E81C20" w:rsidRPr="006D17E2"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t xml:space="preserve">- </w:t>
      </w:r>
      <w:proofErr w:type="spellStart"/>
      <w:r w:rsidRPr="006D17E2">
        <w:rPr>
          <w:rFonts w:ascii="Times New Roman" w:hAnsi="Times New Roman"/>
          <w:bCs/>
          <w:sz w:val="24"/>
          <w:szCs w:val="24"/>
        </w:rPr>
        <w:t>Altum</w:t>
      </w:r>
      <w:proofErr w:type="spellEnd"/>
      <w:r w:rsidRPr="006D17E2">
        <w:rPr>
          <w:rFonts w:ascii="Times New Roman" w:hAnsi="Times New Roman"/>
          <w:bCs/>
          <w:sz w:val="24"/>
          <w:szCs w:val="24"/>
        </w:rPr>
        <w:t xml:space="preserve"> ir</w:t>
      </w:r>
      <w:r>
        <w:rPr>
          <w:rFonts w:ascii="Times New Roman" w:hAnsi="Times New Roman"/>
          <w:bCs/>
          <w:sz w:val="24"/>
          <w:szCs w:val="24"/>
        </w:rPr>
        <w:t xml:space="preserve"> sākusi</w:t>
      </w:r>
      <w:r w:rsidRPr="006D17E2">
        <w:rPr>
          <w:rFonts w:ascii="Times New Roman" w:hAnsi="Times New Roman"/>
          <w:bCs/>
          <w:sz w:val="24"/>
          <w:szCs w:val="24"/>
        </w:rPr>
        <w:t xml:space="preserve"> piedāvāt eksporta kredīta garantijas arī darījumiem uz Eiropas Savienības un atsevišķām OECD dalībvalstīm maziem eksportētājiem (ar eksporta apgrozījumu zem 2 milj. eiro) vai pie lielāka eksporta apgrozījuma, bet ar pēcapm</w:t>
      </w:r>
      <w:r>
        <w:rPr>
          <w:rFonts w:ascii="Times New Roman" w:hAnsi="Times New Roman"/>
          <w:bCs/>
          <w:sz w:val="24"/>
          <w:szCs w:val="24"/>
        </w:rPr>
        <w:t xml:space="preserve">aksas termiņu virs 180 dienām. </w:t>
      </w:r>
      <w:r w:rsidRPr="006D17E2">
        <w:rPr>
          <w:rFonts w:ascii="Times New Roman" w:hAnsi="Times New Roman"/>
          <w:bCs/>
          <w:sz w:val="24"/>
          <w:szCs w:val="24"/>
        </w:rPr>
        <w:t>2017.gadā ir atcelts vietējās preces izcelsmes kritērijs, kas ļauj kvalificēties garantijas segumam arī tiem eksportētājiem, kas veic reeksportu.</w:t>
      </w:r>
      <w:r>
        <w:rPr>
          <w:rFonts w:ascii="Times New Roman" w:hAnsi="Times New Roman"/>
          <w:bCs/>
          <w:sz w:val="24"/>
          <w:szCs w:val="24"/>
        </w:rPr>
        <w:t xml:space="preserve"> </w:t>
      </w:r>
    </w:p>
    <w:p w14:paraId="7D0CC35B" w14:textId="77777777" w:rsidR="00E81C20"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t xml:space="preserve">- Ir noslēgts līgums ar Eiropas Investīciju fondu (EIF) par </w:t>
      </w:r>
      <w:proofErr w:type="spellStart"/>
      <w:r w:rsidRPr="006D17E2">
        <w:rPr>
          <w:rFonts w:ascii="Times New Roman" w:hAnsi="Times New Roman"/>
          <w:bCs/>
          <w:sz w:val="24"/>
          <w:szCs w:val="24"/>
        </w:rPr>
        <w:t>InnovFin</w:t>
      </w:r>
      <w:proofErr w:type="spellEnd"/>
      <w:r w:rsidRPr="006D17E2">
        <w:rPr>
          <w:rFonts w:ascii="Times New Roman" w:hAnsi="Times New Roman"/>
          <w:bCs/>
          <w:sz w:val="24"/>
          <w:szCs w:val="24"/>
        </w:rPr>
        <w:t xml:space="preserve"> programmas </w:t>
      </w:r>
      <w:proofErr w:type="spellStart"/>
      <w:r w:rsidRPr="006D17E2">
        <w:rPr>
          <w:rFonts w:ascii="Times New Roman" w:hAnsi="Times New Roman"/>
          <w:bCs/>
          <w:sz w:val="24"/>
          <w:szCs w:val="24"/>
        </w:rPr>
        <w:t>pretgarantiju</w:t>
      </w:r>
      <w:proofErr w:type="spellEnd"/>
      <w:r w:rsidRPr="006D17E2">
        <w:rPr>
          <w:rFonts w:ascii="Times New Roman" w:hAnsi="Times New Roman"/>
          <w:bCs/>
          <w:sz w:val="24"/>
          <w:szCs w:val="24"/>
        </w:rPr>
        <w:t xml:space="preserve"> ieviešanu 30 milj. eiro garantiju portfelim. </w:t>
      </w:r>
      <w:proofErr w:type="spellStart"/>
      <w:r w:rsidRPr="006D17E2">
        <w:rPr>
          <w:rFonts w:ascii="Times New Roman" w:hAnsi="Times New Roman"/>
          <w:bCs/>
          <w:sz w:val="24"/>
          <w:szCs w:val="24"/>
        </w:rPr>
        <w:t>Pretgarantiju</w:t>
      </w:r>
      <w:proofErr w:type="spellEnd"/>
      <w:r w:rsidRPr="006D17E2">
        <w:rPr>
          <w:rFonts w:ascii="Times New Roman" w:hAnsi="Times New Roman"/>
          <w:bCs/>
          <w:sz w:val="24"/>
          <w:szCs w:val="24"/>
        </w:rPr>
        <w:t xml:space="preserve"> sniegtais riska segums ļauj </w:t>
      </w:r>
      <w:proofErr w:type="spellStart"/>
      <w:r w:rsidRPr="006D17E2">
        <w:rPr>
          <w:rFonts w:ascii="Times New Roman" w:hAnsi="Times New Roman"/>
          <w:bCs/>
          <w:sz w:val="24"/>
          <w:szCs w:val="24"/>
        </w:rPr>
        <w:t>Altum</w:t>
      </w:r>
      <w:proofErr w:type="spellEnd"/>
      <w:r w:rsidRPr="006D17E2">
        <w:rPr>
          <w:rFonts w:ascii="Times New Roman" w:hAnsi="Times New Roman"/>
          <w:bCs/>
          <w:sz w:val="24"/>
          <w:szCs w:val="24"/>
        </w:rPr>
        <w:t xml:space="preserve"> inovatīviem projektiem piešķirt garantijas par zemākām likmēm, samazinot klientiem šo projektu finansējuma piesaistes izmaksas.</w:t>
      </w:r>
      <w:r>
        <w:rPr>
          <w:rFonts w:ascii="Times New Roman" w:hAnsi="Times New Roman"/>
          <w:bCs/>
          <w:sz w:val="24"/>
          <w:szCs w:val="24"/>
        </w:rPr>
        <w:t xml:space="preserve"> </w:t>
      </w:r>
    </w:p>
    <w:p w14:paraId="6DAF6A26" w14:textId="77777777" w:rsidR="00E81C20" w:rsidRPr="006D17E2"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lastRenderedPageBreak/>
        <w:t xml:space="preserve">- Ar Eiropas Investīciju fondu noslēgts līgums par COSME programmas garantijām, kas ļaus Sabiedrībai izsniegt šīm garantijām atbilstošus aizdevumus uzņēmumiem ar mazāku nodrošinājumu no klientu puses. </w:t>
      </w:r>
    </w:p>
    <w:p w14:paraId="7D8829D0" w14:textId="77777777" w:rsidR="00E81C20" w:rsidRPr="00AD4D0D" w:rsidRDefault="00E81C20" w:rsidP="00E81C20">
      <w:pPr>
        <w:pStyle w:val="ListParagraph"/>
        <w:spacing w:after="120"/>
        <w:ind w:left="357"/>
        <w:jc w:val="both"/>
        <w:rPr>
          <w:rFonts w:ascii="Times New Roman" w:hAnsi="Times New Roman"/>
          <w:bCs/>
          <w:sz w:val="24"/>
          <w:szCs w:val="24"/>
        </w:rPr>
      </w:pPr>
      <w:r w:rsidRPr="006D17E2">
        <w:rPr>
          <w:rFonts w:ascii="Times New Roman" w:hAnsi="Times New Roman"/>
          <w:bCs/>
          <w:sz w:val="24"/>
          <w:szCs w:val="24"/>
        </w:rPr>
        <w:t>- Zemes fondā ieviests jauns pakalpojuma veids – reversā noma</w:t>
      </w:r>
      <w:r>
        <w:rPr>
          <w:rFonts w:ascii="Times New Roman" w:hAnsi="Times New Roman"/>
          <w:bCs/>
          <w:sz w:val="24"/>
          <w:szCs w:val="24"/>
        </w:rPr>
        <w:t xml:space="preserve">. </w:t>
      </w:r>
    </w:p>
    <w:p w14:paraId="6BB9140F" w14:textId="77777777" w:rsidR="00E81C20" w:rsidRPr="00500294" w:rsidRDefault="00E81C20" w:rsidP="00E81C20">
      <w:pPr>
        <w:pStyle w:val="ListParagraph"/>
        <w:spacing w:after="120"/>
        <w:ind w:left="357"/>
        <w:contextualSpacing w:val="0"/>
        <w:jc w:val="both"/>
        <w:rPr>
          <w:rFonts w:ascii="Times New Roman" w:hAnsi="Times New Roman"/>
          <w:sz w:val="24"/>
          <w:szCs w:val="24"/>
          <w:u w:val="single"/>
        </w:rPr>
      </w:pPr>
      <w:r w:rsidRPr="00AD4D0D">
        <w:rPr>
          <w:rFonts w:ascii="Times New Roman" w:hAnsi="Times New Roman"/>
          <w:bCs/>
          <w:sz w:val="24"/>
          <w:szCs w:val="24"/>
        </w:rPr>
        <w:t>-</w:t>
      </w:r>
      <w:r>
        <w:rPr>
          <w:rFonts w:ascii="Times New Roman" w:hAnsi="Times New Roman"/>
          <w:bCs/>
          <w:sz w:val="24"/>
          <w:szCs w:val="24"/>
        </w:rPr>
        <w:t xml:space="preserve"> </w:t>
      </w:r>
      <w:r w:rsidRPr="00AD4D0D">
        <w:rPr>
          <w:rFonts w:ascii="Times New Roman" w:hAnsi="Times New Roman"/>
          <w:bCs/>
          <w:sz w:val="24"/>
          <w:szCs w:val="24"/>
        </w:rPr>
        <w:t>Izstrādāti grozījumi, paplašinot Mājokļu galvojumu p</w:t>
      </w:r>
      <w:r>
        <w:rPr>
          <w:rFonts w:ascii="Times New Roman" w:hAnsi="Times New Roman"/>
          <w:bCs/>
          <w:sz w:val="24"/>
          <w:szCs w:val="24"/>
        </w:rPr>
        <w:t xml:space="preserve">rogrammu arī uz jaunajiem </w:t>
      </w:r>
      <w:r w:rsidRPr="00500294">
        <w:rPr>
          <w:rFonts w:ascii="Times New Roman" w:hAnsi="Times New Roman"/>
          <w:bCs/>
          <w:sz w:val="24"/>
          <w:szCs w:val="24"/>
        </w:rPr>
        <w:t xml:space="preserve">speciālistiem. </w:t>
      </w:r>
    </w:p>
    <w:p w14:paraId="01E44561" w14:textId="0A2C72B7" w:rsidR="00531702" w:rsidRPr="0033433A" w:rsidRDefault="00D91CFF" w:rsidP="00D91CFF">
      <w:pPr>
        <w:tabs>
          <w:tab w:val="right" w:pos="8640"/>
        </w:tabs>
        <w:spacing w:before="240" w:after="120" w:line="276"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531702">
        <w:rPr>
          <w:rFonts w:ascii="Times New Roman" w:eastAsia="Calibri" w:hAnsi="Times New Roman" w:cs="Times New Roman"/>
          <w:b/>
          <w:bCs/>
          <w:sz w:val="28"/>
          <w:szCs w:val="28"/>
        </w:rPr>
        <w:t>3.</w:t>
      </w:r>
      <w:r>
        <w:rPr>
          <w:rFonts w:ascii="Times New Roman" w:eastAsia="Calibri" w:hAnsi="Times New Roman" w:cs="Times New Roman"/>
          <w:b/>
          <w:bCs/>
          <w:sz w:val="28"/>
          <w:szCs w:val="28"/>
        </w:rPr>
        <w:t xml:space="preserve"> </w:t>
      </w:r>
      <w:r w:rsidR="00531702" w:rsidRPr="00531702">
        <w:rPr>
          <w:rFonts w:ascii="Times New Roman" w:eastAsia="Calibri" w:hAnsi="Times New Roman" w:cs="Times New Roman"/>
          <w:b/>
          <w:bCs/>
          <w:sz w:val="28"/>
          <w:szCs w:val="28"/>
        </w:rPr>
        <w:t>Finanšu rādītāji</w:t>
      </w:r>
      <w:r w:rsidR="00531702" w:rsidRPr="0033433A">
        <w:rPr>
          <w:rFonts w:ascii="Times New Roman" w:eastAsia="Calibri" w:hAnsi="Times New Roman" w:cs="Times New Roman"/>
          <w:b/>
          <w:bCs/>
          <w:sz w:val="28"/>
          <w:szCs w:val="28"/>
        </w:rPr>
        <w:t xml:space="preserve"> </w:t>
      </w:r>
    </w:p>
    <w:tbl>
      <w:tblPr>
        <w:tblW w:w="8921" w:type="dxa"/>
        <w:tblLayout w:type="fixed"/>
        <w:tblLook w:val="04A0" w:firstRow="1" w:lastRow="0" w:firstColumn="1" w:lastColumn="0" w:noHBand="0" w:noVBand="1"/>
      </w:tblPr>
      <w:tblGrid>
        <w:gridCol w:w="3109"/>
        <w:gridCol w:w="1276"/>
        <w:gridCol w:w="1133"/>
        <w:gridCol w:w="1135"/>
        <w:gridCol w:w="1134"/>
        <w:gridCol w:w="1134"/>
      </w:tblGrid>
      <w:tr w:rsidR="00D91CFF" w:rsidRPr="00531702" w14:paraId="489AC11D" w14:textId="77777777" w:rsidTr="00D91CFF">
        <w:trPr>
          <w:trHeight w:val="975"/>
        </w:trPr>
        <w:tc>
          <w:tcPr>
            <w:tcW w:w="3109"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15C0D696" w14:textId="2990AC97" w:rsidR="00531702" w:rsidRPr="00531702" w:rsidRDefault="00D91CFF" w:rsidP="00531702">
            <w:pPr>
              <w:spacing w:after="0" w:line="240" w:lineRule="auto"/>
              <w:jc w:val="center"/>
              <w:rPr>
                <w:rFonts w:ascii="Times New Roman" w:eastAsia="Times New Roman" w:hAnsi="Times New Roman" w:cs="Times New Roman"/>
                <w:b/>
                <w:bCs/>
                <w:sz w:val="20"/>
                <w:szCs w:val="20"/>
                <w:lang w:eastAsia="lv-LV"/>
              </w:rPr>
            </w:pPr>
            <w:r w:rsidRPr="00D91CFF">
              <w:rPr>
                <w:rFonts w:ascii="Times New Roman" w:eastAsia="Times New Roman" w:hAnsi="Times New Roman" w:cs="Times New Roman"/>
                <w:b/>
                <w:bCs/>
                <w:sz w:val="20"/>
                <w:szCs w:val="20"/>
                <w:lang w:eastAsia="lv-LV"/>
              </w:rPr>
              <w:t xml:space="preserve">Finanšu rādītāji darbības plānā un budžetā </w:t>
            </w:r>
          </w:p>
        </w:tc>
        <w:tc>
          <w:tcPr>
            <w:tcW w:w="1276"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1F4E527" w14:textId="77777777" w:rsidR="00531702" w:rsidRPr="00531702" w:rsidRDefault="00531702" w:rsidP="00531702">
            <w:pPr>
              <w:spacing w:after="0" w:line="240" w:lineRule="auto"/>
              <w:jc w:val="center"/>
              <w:rPr>
                <w:rFonts w:ascii="Times New Roman" w:eastAsia="Times New Roman" w:hAnsi="Times New Roman" w:cs="Times New Roman"/>
                <w:b/>
                <w:bCs/>
                <w:color w:val="000000"/>
                <w:sz w:val="18"/>
                <w:szCs w:val="18"/>
                <w:lang w:eastAsia="lv-LV"/>
              </w:rPr>
            </w:pPr>
            <w:r w:rsidRPr="00531702">
              <w:rPr>
                <w:rFonts w:ascii="Times New Roman" w:eastAsia="Times New Roman" w:hAnsi="Times New Roman" w:cs="Times New Roman"/>
                <w:b/>
                <w:bCs/>
                <w:color w:val="000000"/>
                <w:sz w:val="18"/>
                <w:szCs w:val="18"/>
                <w:lang w:eastAsia="lv-LV"/>
              </w:rPr>
              <w:t>Fakts 2016.gadā</w:t>
            </w:r>
          </w:p>
        </w:tc>
        <w:tc>
          <w:tcPr>
            <w:tcW w:w="113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B07C689" w14:textId="77777777" w:rsidR="00531702" w:rsidRPr="00531702" w:rsidRDefault="00531702" w:rsidP="00531702">
            <w:pPr>
              <w:spacing w:after="0" w:line="240" w:lineRule="auto"/>
              <w:jc w:val="center"/>
              <w:rPr>
                <w:rFonts w:ascii="Times New Roman" w:eastAsia="Times New Roman" w:hAnsi="Times New Roman" w:cs="Times New Roman"/>
                <w:b/>
                <w:bCs/>
                <w:color w:val="000000"/>
                <w:sz w:val="18"/>
                <w:szCs w:val="18"/>
                <w:lang w:eastAsia="lv-LV"/>
              </w:rPr>
            </w:pPr>
            <w:r w:rsidRPr="00531702">
              <w:rPr>
                <w:rFonts w:ascii="Times New Roman" w:eastAsia="Times New Roman" w:hAnsi="Times New Roman" w:cs="Times New Roman"/>
                <w:b/>
                <w:bCs/>
                <w:color w:val="000000"/>
                <w:sz w:val="18"/>
                <w:szCs w:val="18"/>
                <w:lang w:eastAsia="lv-LV"/>
              </w:rPr>
              <w:t>Plānotais      2017.gadā</w:t>
            </w:r>
          </w:p>
        </w:tc>
        <w:tc>
          <w:tcPr>
            <w:tcW w:w="113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458468C" w14:textId="77777777" w:rsidR="00531702" w:rsidRPr="00531702" w:rsidRDefault="00531702" w:rsidP="00531702">
            <w:pPr>
              <w:spacing w:after="0" w:line="240" w:lineRule="auto"/>
              <w:jc w:val="center"/>
              <w:rPr>
                <w:rFonts w:ascii="Times New Roman" w:eastAsia="Times New Roman" w:hAnsi="Times New Roman" w:cs="Times New Roman"/>
                <w:b/>
                <w:bCs/>
                <w:color w:val="000000"/>
                <w:sz w:val="18"/>
                <w:szCs w:val="18"/>
                <w:lang w:eastAsia="lv-LV"/>
              </w:rPr>
            </w:pPr>
            <w:r w:rsidRPr="00531702">
              <w:rPr>
                <w:rFonts w:ascii="Times New Roman" w:eastAsia="Times New Roman" w:hAnsi="Times New Roman" w:cs="Times New Roman"/>
                <w:b/>
                <w:bCs/>
                <w:color w:val="000000"/>
                <w:sz w:val="18"/>
                <w:szCs w:val="18"/>
                <w:lang w:eastAsia="lv-LV"/>
              </w:rPr>
              <w:t>Fakts         2017.gadā</w:t>
            </w:r>
          </w:p>
        </w:tc>
        <w:tc>
          <w:tcPr>
            <w:tcW w:w="113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99714FE" w14:textId="77777777" w:rsidR="00531702" w:rsidRPr="00531702" w:rsidRDefault="00531702" w:rsidP="00531702">
            <w:pPr>
              <w:spacing w:after="0" w:line="240" w:lineRule="auto"/>
              <w:jc w:val="center"/>
              <w:rPr>
                <w:rFonts w:ascii="Times New Roman" w:eastAsia="Times New Roman" w:hAnsi="Times New Roman" w:cs="Times New Roman"/>
                <w:b/>
                <w:bCs/>
                <w:color w:val="000000"/>
                <w:sz w:val="18"/>
                <w:szCs w:val="18"/>
                <w:lang w:eastAsia="lv-LV"/>
              </w:rPr>
            </w:pPr>
            <w:r w:rsidRPr="00531702">
              <w:rPr>
                <w:rFonts w:ascii="Times New Roman" w:eastAsia="Times New Roman" w:hAnsi="Times New Roman" w:cs="Times New Roman"/>
                <w:b/>
                <w:bCs/>
                <w:color w:val="000000"/>
                <w:sz w:val="18"/>
                <w:szCs w:val="18"/>
                <w:lang w:eastAsia="lv-LV"/>
              </w:rPr>
              <w:t>Novirze  no plānotā</w:t>
            </w:r>
          </w:p>
        </w:tc>
        <w:tc>
          <w:tcPr>
            <w:tcW w:w="113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40D2D97" w14:textId="77777777" w:rsidR="00531702" w:rsidRPr="00531702" w:rsidRDefault="00531702" w:rsidP="00531702">
            <w:pPr>
              <w:spacing w:after="0" w:line="240" w:lineRule="auto"/>
              <w:jc w:val="center"/>
              <w:rPr>
                <w:rFonts w:ascii="Times New Roman" w:eastAsia="Times New Roman" w:hAnsi="Times New Roman" w:cs="Times New Roman"/>
                <w:b/>
                <w:bCs/>
                <w:color w:val="000000"/>
                <w:sz w:val="18"/>
                <w:szCs w:val="18"/>
                <w:lang w:eastAsia="lv-LV"/>
              </w:rPr>
            </w:pPr>
            <w:r w:rsidRPr="00531702">
              <w:rPr>
                <w:rFonts w:ascii="Times New Roman" w:eastAsia="Times New Roman" w:hAnsi="Times New Roman" w:cs="Times New Roman"/>
                <w:b/>
                <w:bCs/>
                <w:color w:val="000000"/>
                <w:sz w:val="18"/>
                <w:szCs w:val="18"/>
                <w:lang w:eastAsia="lv-LV"/>
              </w:rPr>
              <w:t>Novirze  no plānotā, %</w:t>
            </w:r>
          </w:p>
        </w:tc>
      </w:tr>
      <w:tr w:rsidR="00D91CFF" w:rsidRPr="00531702" w14:paraId="4068CB72"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73EF4568"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neto apgrozījums,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3D4698B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14 123 687</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585EBBDD"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14 070 000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4559FD6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14 436 766</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285A41E4"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366 766</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299E7E87"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3%</w:t>
            </w:r>
          </w:p>
        </w:tc>
      </w:tr>
      <w:tr w:rsidR="00D91CFF" w:rsidRPr="00531702" w14:paraId="3A78B9C9"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0F51BC6B"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peļņa vai zaudējumi,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4DB60CD8"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4 024 833</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5C17883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1 868 000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0DD2A132"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5 883 500</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647EB98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4 015 500</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C9F687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215%</w:t>
            </w:r>
          </w:p>
        </w:tc>
      </w:tr>
      <w:tr w:rsidR="00D91CFF" w:rsidRPr="00531702" w14:paraId="40AB9C33" w14:textId="77777777" w:rsidTr="00D91CFF">
        <w:trPr>
          <w:trHeight w:val="52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447C325B"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peļņa pirms nodokļu maksājumiem un nodokļiem (EBIT),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6BA49AD5"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4 223 365</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24D4CC0D"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2 061 000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12A4CD24"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6 097 846</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575E9D5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4 036 846</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3C611F4"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196%</w:t>
            </w:r>
          </w:p>
        </w:tc>
      </w:tr>
      <w:tr w:rsidR="00D91CFF" w:rsidRPr="00531702" w14:paraId="051E1DA8" w14:textId="77777777" w:rsidTr="00D91CFF">
        <w:trPr>
          <w:trHeight w:val="780"/>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12943336"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peļņa pirms procentu maksājumiem, nodokļiem, nolietojuma un amortizācijas atskaitījumiem (EBITDA),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5A7D5A8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4 689 307</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160805C8"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2 380 000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4CD2775D"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6 274 800</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4139FCFB"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3 894 800</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8AB0CFC"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164%</w:t>
            </w:r>
          </w:p>
        </w:tc>
      </w:tr>
      <w:tr w:rsidR="00D91CFF" w:rsidRPr="00531702" w14:paraId="056B45E2"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6F645E0A"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bilances kopsumma,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7878A5A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439 427 577</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477914B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491 303 000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0B1DCC1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447 455 148</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112A5224"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-43 847 852</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1F9DD7C4"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-9%</w:t>
            </w:r>
          </w:p>
        </w:tc>
      </w:tr>
      <w:tr w:rsidR="00D91CFF" w:rsidRPr="00531702" w14:paraId="489ACCD7"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7F64B41B"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pašu kapitāls,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555E7B2D"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211 068 457</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24A8417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213 277 000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65E557F0"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218 290 545</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2A6B71D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5 013 545</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76FC5020"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w:t>
            </w:r>
          </w:p>
        </w:tc>
      </w:tr>
      <w:tr w:rsidR="00D91CFF" w:rsidRPr="00531702" w14:paraId="5A91F811"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75B13FA0"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 xml:space="preserve">pašu kapitāla </w:t>
            </w:r>
            <w:proofErr w:type="spellStart"/>
            <w:r w:rsidRPr="00531702">
              <w:rPr>
                <w:rFonts w:ascii="Times New Roman" w:eastAsia="Times New Roman" w:hAnsi="Times New Roman" w:cs="Times New Roman"/>
                <w:color w:val="000000"/>
                <w:sz w:val="20"/>
                <w:szCs w:val="20"/>
                <w:lang w:eastAsia="lv-LV"/>
              </w:rPr>
              <w:t>atdeve</w:t>
            </w:r>
            <w:proofErr w:type="spellEnd"/>
            <w:r w:rsidRPr="00531702">
              <w:rPr>
                <w:rFonts w:ascii="Times New Roman" w:eastAsia="Times New Roman" w:hAnsi="Times New Roman" w:cs="Times New Roman"/>
                <w:color w:val="000000"/>
                <w:sz w:val="20"/>
                <w:szCs w:val="20"/>
                <w:lang w:eastAsia="lv-LV"/>
              </w:rPr>
              <w:t xml:space="preserve"> (ROE), %</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2BE2D01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1.91%</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3754E83B"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0.88%</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4F5DE0EC"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2.74%</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5F8A8E2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1.86%</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17B845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211%</w:t>
            </w:r>
          </w:p>
        </w:tc>
      </w:tr>
      <w:tr w:rsidR="00D91CFF" w:rsidRPr="00531702" w14:paraId="652BFB8D"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2CE68FED"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 xml:space="preserve">aktīvu </w:t>
            </w:r>
            <w:proofErr w:type="spellStart"/>
            <w:r w:rsidRPr="00531702">
              <w:rPr>
                <w:rFonts w:ascii="Times New Roman" w:eastAsia="Times New Roman" w:hAnsi="Times New Roman" w:cs="Times New Roman"/>
                <w:color w:val="000000"/>
                <w:sz w:val="20"/>
                <w:szCs w:val="20"/>
                <w:lang w:eastAsia="lv-LV"/>
              </w:rPr>
              <w:t>atdeve</w:t>
            </w:r>
            <w:proofErr w:type="spellEnd"/>
            <w:r w:rsidRPr="00531702">
              <w:rPr>
                <w:rFonts w:ascii="Times New Roman" w:eastAsia="Times New Roman" w:hAnsi="Times New Roman" w:cs="Times New Roman"/>
                <w:color w:val="000000"/>
                <w:sz w:val="20"/>
                <w:szCs w:val="20"/>
                <w:lang w:eastAsia="lv-LV"/>
              </w:rPr>
              <w:t xml:space="preserve"> (ROA), %</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242C3238"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0.92%</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4E8F4DE2"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0.39%</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6AABB223"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1.31%</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57DDDD27"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0.92%</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757A0558"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236%</w:t>
            </w:r>
          </w:p>
        </w:tc>
      </w:tr>
      <w:tr w:rsidR="00D91CFF" w:rsidRPr="00531702" w14:paraId="5F5130C8" w14:textId="77777777" w:rsidTr="007F6998">
        <w:trPr>
          <w:trHeight w:val="598"/>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635E305B"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kopējais likviditātes rādītājs</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2F71EE9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620%</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14:paraId="40DC2241"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192%                               (limits &gt;=50%)</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581ADEF2"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463%</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19E7C0C2"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 xml:space="preserve"> +271%    (pret limitu  +413%)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6ADA99F5"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 xml:space="preserve">141%  </w:t>
            </w:r>
          </w:p>
        </w:tc>
      </w:tr>
      <w:tr w:rsidR="00D91CFF" w:rsidRPr="00531702" w14:paraId="07979F42"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48C94E55"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saistības pret pašu kapitālu, %</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6DCEFF5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97%</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3927E050"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116%</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49D54031"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105%</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150C7D8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-11.26%</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1B397DB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-10%</w:t>
            </w:r>
          </w:p>
        </w:tc>
      </w:tr>
      <w:tr w:rsidR="00D91CFF" w:rsidRPr="00531702" w14:paraId="3F3B4859"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5EC5640B" w14:textId="77777777" w:rsidR="00531702" w:rsidRPr="00531702" w:rsidRDefault="00531702" w:rsidP="00531702">
            <w:pPr>
              <w:spacing w:after="0" w:line="240" w:lineRule="auto"/>
              <w:rPr>
                <w:rFonts w:ascii="Times New Roman" w:eastAsia="Times New Roman" w:hAnsi="Times New Roman" w:cs="Times New Roman"/>
                <w:color w:val="000000"/>
                <w:sz w:val="20"/>
                <w:szCs w:val="20"/>
                <w:lang w:eastAsia="lv-LV"/>
              </w:rPr>
            </w:pPr>
            <w:r w:rsidRPr="00531702">
              <w:rPr>
                <w:rFonts w:ascii="Times New Roman" w:eastAsia="Times New Roman" w:hAnsi="Times New Roman" w:cs="Times New Roman"/>
                <w:color w:val="000000"/>
                <w:sz w:val="20"/>
                <w:szCs w:val="20"/>
                <w:lang w:eastAsia="lv-LV"/>
              </w:rPr>
              <w:t>pamatdarbības neto naudas plūsma, EUR</w:t>
            </w:r>
          </w:p>
        </w:tc>
        <w:tc>
          <w:tcPr>
            <w:tcW w:w="1276" w:type="dxa"/>
            <w:tcBorders>
              <w:top w:val="single" w:sz="8" w:space="0" w:color="auto"/>
              <w:left w:val="single" w:sz="8" w:space="0" w:color="auto"/>
              <w:bottom w:val="single" w:sz="8" w:space="0" w:color="auto"/>
              <w:right w:val="single" w:sz="8" w:space="0" w:color="auto"/>
            </w:tcBorders>
            <w:shd w:val="clear" w:color="auto" w:fill="auto"/>
            <w:noWrap/>
            <w:hideMark/>
          </w:tcPr>
          <w:p w14:paraId="559BD542"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89 407 985</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565127F5"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111 100 905</w:t>
            </w:r>
          </w:p>
        </w:tc>
        <w:tc>
          <w:tcPr>
            <w:tcW w:w="1135" w:type="dxa"/>
            <w:tcBorders>
              <w:top w:val="single" w:sz="8" w:space="0" w:color="auto"/>
              <w:left w:val="single" w:sz="8" w:space="0" w:color="auto"/>
              <w:bottom w:val="single" w:sz="8" w:space="0" w:color="auto"/>
              <w:right w:val="single" w:sz="8" w:space="0" w:color="auto"/>
            </w:tcBorders>
            <w:shd w:val="clear" w:color="auto" w:fill="auto"/>
            <w:noWrap/>
            <w:hideMark/>
          </w:tcPr>
          <w:p w14:paraId="0276B9D3"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109 597 000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14:paraId="1FC382A2"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-1 503 905</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14:paraId="2A77566C"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w:t>
            </w:r>
          </w:p>
        </w:tc>
      </w:tr>
      <w:tr w:rsidR="00D91CFF" w:rsidRPr="00531702" w14:paraId="6892AADC" w14:textId="77777777" w:rsidTr="00D91CFF">
        <w:trPr>
          <w:trHeight w:val="31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60535360" w14:textId="77777777" w:rsidR="00531702" w:rsidRPr="00531702" w:rsidRDefault="00531702" w:rsidP="00531702">
            <w:pPr>
              <w:spacing w:after="0" w:line="240" w:lineRule="auto"/>
              <w:rPr>
                <w:rFonts w:ascii="Times New Roman" w:eastAsia="Times New Roman" w:hAnsi="Times New Roman" w:cs="Times New Roman"/>
                <w:sz w:val="20"/>
                <w:szCs w:val="20"/>
                <w:lang w:eastAsia="lv-LV"/>
              </w:rPr>
            </w:pPr>
            <w:r w:rsidRPr="00531702">
              <w:rPr>
                <w:rFonts w:ascii="Times New Roman" w:eastAsia="Times New Roman" w:hAnsi="Times New Roman" w:cs="Times New Roman"/>
                <w:sz w:val="20"/>
                <w:szCs w:val="20"/>
                <w:lang w:eastAsia="lv-LV"/>
              </w:rPr>
              <w:t>ieguldījumi investīcijās, EUR</w:t>
            </w:r>
          </w:p>
        </w:tc>
        <w:tc>
          <w:tcPr>
            <w:tcW w:w="1276" w:type="dxa"/>
            <w:tcBorders>
              <w:top w:val="single" w:sz="8" w:space="0" w:color="auto"/>
              <w:left w:val="nil"/>
              <w:bottom w:val="single" w:sz="8" w:space="0" w:color="auto"/>
              <w:right w:val="nil"/>
            </w:tcBorders>
            <w:shd w:val="clear" w:color="auto" w:fill="auto"/>
            <w:noWrap/>
            <w:hideMark/>
          </w:tcPr>
          <w:p w14:paraId="77B269E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3 676 040</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1296CA6C"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5 376 000</w:t>
            </w:r>
          </w:p>
        </w:tc>
        <w:tc>
          <w:tcPr>
            <w:tcW w:w="1135" w:type="dxa"/>
            <w:tcBorders>
              <w:top w:val="single" w:sz="8" w:space="0" w:color="auto"/>
              <w:left w:val="nil"/>
              <w:bottom w:val="single" w:sz="8" w:space="0" w:color="auto"/>
              <w:right w:val="single" w:sz="8" w:space="0" w:color="auto"/>
            </w:tcBorders>
            <w:shd w:val="clear" w:color="auto" w:fill="auto"/>
            <w:noWrap/>
            <w:hideMark/>
          </w:tcPr>
          <w:p w14:paraId="3DE0478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4 645 554</w:t>
            </w:r>
          </w:p>
        </w:tc>
        <w:tc>
          <w:tcPr>
            <w:tcW w:w="1134" w:type="dxa"/>
            <w:tcBorders>
              <w:top w:val="single" w:sz="8" w:space="0" w:color="auto"/>
              <w:left w:val="nil"/>
              <w:bottom w:val="single" w:sz="8" w:space="0" w:color="auto"/>
              <w:right w:val="single" w:sz="8" w:space="0" w:color="auto"/>
            </w:tcBorders>
            <w:shd w:val="clear" w:color="auto" w:fill="auto"/>
            <w:noWrap/>
            <w:hideMark/>
          </w:tcPr>
          <w:p w14:paraId="602606D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-730 446</w:t>
            </w:r>
          </w:p>
        </w:tc>
        <w:tc>
          <w:tcPr>
            <w:tcW w:w="1134" w:type="dxa"/>
            <w:tcBorders>
              <w:top w:val="single" w:sz="8" w:space="0" w:color="auto"/>
              <w:left w:val="nil"/>
              <w:bottom w:val="single" w:sz="8" w:space="0" w:color="auto"/>
              <w:right w:val="single" w:sz="8" w:space="0" w:color="auto"/>
            </w:tcBorders>
            <w:shd w:val="clear" w:color="auto" w:fill="auto"/>
            <w:hideMark/>
          </w:tcPr>
          <w:p w14:paraId="2DE2959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-13.59%</w:t>
            </w:r>
          </w:p>
        </w:tc>
      </w:tr>
      <w:tr w:rsidR="00D91CFF" w:rsidRPr="00531702" w14:paraId="2CE324E2" w14:textId="77777777" w:rsidTr="00D91CFF">
        <w:trPr>
          <w:trHeight w:val="525"/>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5DB1994E" w14:textId="77777777" w:rsidR="00531702" w:rsidRPr="00531702" w:rsidRDefault="00531702" w:rsidP="00531702">
            <w:pPr>
              <w:spacing w:after="0" w:line="240" w:lineRule="auto"/>
              <w:rPr>
                <w:rFonts w:ascii="Times New Roman" w:eastAsia="Times New Roman" w:hAnsi="Times New Roman" w:cs="Times New Roman"/>
                <w:sz w:val="20"/>
                <w:szCs w:val="20"/>
                <w:lang w:eastAsia="lv-LV"/>
              </w:rPr>
            </w:pPr>
            <w:r w:rsidRPr="00531702">
              <w:rPr>
                <w:rFonts w:ascii="Times New Roman" w:eastAsia="Times New Roman" w:hAnsi="Times New Roman" w:cs="Times New Roman"/>
                <w:sz w:val="20"/>
                <w:szCs w:val="20"/>
                <w:lang w:eastAsia="lv-LV"/>
              </w:rPr>
              <w:t>valsts budžetā iemaksātās dividendes pārskata gadā, EUR</w:t>
            </w:r>
          </w:p>
        </w:tc>
        <w:tc>
          <w:tcPr>
            <w:tcW w:w="1276" w:type="dxa"/>
            <w:tcBorders>
              <w:top w:val="single" w:sz="8" w:space="0" w:color="auto"/>
              <w:left w:val="nil"/>
              <w:bottom w:val="single" w:sz="8" w:space="0" w:color="auto"/>
              <w:right w:val="single" w:sz="8" w:space="0" w:color="auto"/>
            </w:tcBorders>
            <w:shd w:val="clear" w:color="auto" w:fill="auto"/>
            <w:noWrap/>
            <w:hideMark/>
          </w:tcPr>
          <w:p w14:paraId="015327F2"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0</w:t>
            </w:r>
          </w:p>
        </w:tc>
        <w:tc>
          <w:tcPr>
            <w:tcW w:w="1133" w:type="dxa"/>
            <w:tcBorders>
              <w:top w:val="single" w:sz="8" w:space="0" w:color="auto"/>
              <w:left w:val="nil"/>
              <w:bottom w:val="single" w:sz="8" w:space="0" w:color="auto"/>
              <w:right w:val="single" w:sz="8" w:space="0" w:color="auto"/>
            </w:tcBorders>
            <w:shd w:val="clear" w:color="auto" w:fill="auto"/>
            <w:noWrap/>
            <w:hideMark/>
          </w:tcPr>
          <w:p w14:paraId="6E3023E3"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0</w:t>
            </w:r>
          </w:p>
        </w:tc>
        <w:tc>
          <w:tcPr>
            <w:tcW w:w="1135" w:type="dxa"/>
            <w:tcBorders>
              <w:top w:val="single" w:sz="8" w:space="0" w:color="auto"/>
              <w:left w:val="nil"/>
              <w:bottom w:val="single" w:sz="8" w:space="0" w:color="auto"/>
              <w:right w:val="single" w:sz="8" w:space="0" w:color="auto"/>
            </w:tcBorders>
            <w:shd w:val="clear" w:color="auto" w:fill="auto"/>
            <w:noWrap/>
            <w:hideMark/>
          </w:tcPr>
          <w:p w14:paraId="47DDA56A"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0</w:t>
            </w:r>
          </w:p>
        </w:tc>
        <w:tc>
          <w:tcPr>
            <w:tcW w:w="1134" w:type="dxa"/>
            <w:tcBorders>
              <w:top w:val="single" w:sz="8" w:space="0" w:color="auto"/>
              <w:left w:val="nil"/>
              <w:bottom w:val="single" w:sz="8" w:space="0" w:color="auto"/>
              <w:right w:val="single" w:sz="8" w:space="0" w:color="auto"/>
            </w:tcBorders>
            <w:shd w:val="clear" w:color="auto" w:fill="auto"/>
            <w:noWrap/>
            <w:hideMark/>
          </w:tcPr>
          <w:p w14:paraId="1D1FB2BE"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0</w:t>
            </w:r>
          </w:p>
        </w:tc>
        <w:tc>
          <w:tcPr>
            <w:tcW w:w="1134" w:type="dxa"/>
            <w:tcBorders>
              <w:top w:val="single" w:sz="8" w:space="0" w:color="auto"/>
              <w:left w:val="nil"/>
              <w:bottom w:val="single" w:sz="8" w:space="0" w:color="auto"/>
              <w:right w:val="single" w:sz="8" w:space="0" w:color="auto"/>
            </w:tcBorders>
            <w:shd w:val="clear" w:color="auto" w:fill="auto"/>
            <w:noWrap/>
            <w:hideMark/>
          </w:tcPr>
          <w:p w14:paraId="6418F7B1"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0%</w:t>
            </w:r>
          </w:p>
        </w:tc>
      </w:tr>
      <w:tr w:rsidR="00D91CFF" w:rsidRPr="00531702" w14:paraId="11E7535E" w14:textId="77777777" w:rsidTr="00BC2F07">
        <w:trPr>
          <w:trHeight w:val="689"/>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210AB4F1" w14:textId="77777777" w:rsidR="00531702" w:rsidRPr="00531702" w:rsidRDefault="00531702" w:rsidP="00531702">
            <w:pPr>
              <w:spacing w:after="0" w:line="240" w:lineRule="auto"/>
              <w:rPr>
                <w:rFonts w:ascii="Times New Roman" w:eastAsia="Times New Roman" w:hAnsi="Times New Roman" w:cs="Times New Roman"/>
                <w:sz w:val="20"/>
                <w:szCs w:val="20"/>
                <w:lang w:eastAsia="lv-LV"/>
              </w:rPr>
            </w:pPr>
            <w:r w:rsidRPr="00531702">
              <w:rPr>
                <w:rFonts w:ascii="Times New Roman" w:eastAsia="Times New Roman" w:hAnsi="Times New Roman" w:cs="Times New Roman"/>
                <w:sz w:val="20"/>
                <w:szCs w:val="20"/>
                <w:lang w:eastAsia="lv-LV"/>
              </w:rPr>
              <w:t>vidējā bruto atlīdzība (neieskaitot darba devēja veiktās VSAOI) uz vienu nodarbināto gadā, EUR</w:t>
            </w:r>
          </w:p>
        </w:tc>
        <w:tc>
          <w:tcPr>
            <w:tcW w:w="1276" w:type="dxa"/>
            <w:tcBorders>
              <w:top w:val="single" w:sz="8" w:space="0" w:color="auto"/>
              <w:left w:val="nil"/>
              <w:bottom w:val="single" w:sz="8" w:space="0" w:color="auto"/>
              <w:right w:val="single" w:sz="8" w:space="0" w:color="auto"/>
            </w:tcBorders>
            <w:shd w:val="clear" w:color="auto" w:fill="auto"/>
            <w:noWrap/>
            <w:hideMark/>
          </w:tcPr>
          <w:p w14:paraId="32CC35ED"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21 632</w:t>
            </w:r>
          </w:p>
        </w:tc>
        <w:tc>
          <w:tcPr>
            <w:tcW w:w="1133" w:type="dxa"/>
            <w:tcBorders>
              <w:top w:val="single" w:sz="8" w:space="0" w:color="auto"/>
              <w:left w:val="nil"/>
              <w:bottom w:val="single" w:sz="8" w:space="0" w:color="auto"/>
              <w:right w:val="single" w:sz="8" w:space="0" w:color="auto"/>
            </w:tcBorders>
            <w:shd w:val="clear" w:color="auto" w:fill="auto"/>
            <w:noWrap/>
            <w:hideMark/>
          </w:tcPr>
          <w:p w14:paraId="5F3D9DA9"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24 390</w:t>
            </w:r>
          </w:p>
        </w:tc>
        <w:tc>
          <w:tcPr>
            <w:tcW w:w="1135" w:type="dxa"/>
            <w:tcBorders>
              <w:top w:val="single" w:sz="8" w:space="0" w:color="auto"/>
              <w:left w:val="nil"/>
              <w:bottom w:val="single" w:sz="8" w:space="0" w:color="auto"/>
              <w:right w:val="single" w:sz="8" w:space="0" w:color="auto"/>
            </w:tcBorders>
            <w:shd w:val="clear" w:color="auto" w:fill="auto"/>
            <w:noWrap/>
            <w:hideMark/>
          </w:tcPr>
          <w:p w14:paraId="59D6510E"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22 939</w:t>
            </w:r>
          </w:p>
        </w:tc>
        <w:tc>
          <w:tcPr>
            <w:tcW w:w="1134" w:type="dxa"/>
            <w:tcBorders>
              <w:top w:val="single" w:sz="8" w:space="0" w:color="auto"/>
              <w:left w:val="nil"/>
              <w:bottom w:val="single" w:sz="8" w:space="0" w:color="auto"/>
              <w:right w:val="single" w:sz="8" w:space="0" w:color="auto"/>
            </w:tcBorders>
            <w:shd w:val="clear" w:color="auto" w:fill="auto"/>
            <w:noWrap/>
            <w:hideMark/>
          </w:tcPr>
          <w:p w14:paraId="0DF07F2C"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-1 451</w:t>
            </w:r>
          </w:p>
        </w:tc>
        <w:tc>
          <w:tcPr>
            <w:tcW w:w="1134" w:type="dxa"/>
            <w:tcBorders>
              <w:top w:val="single" w:sz="8" w:space="0" w:color="auto"/>
              <w:left w:val="nil"/>
              <w:bottom w:val="single" w:sz="8" w:space="0" w:color="auto"/>
              <w:right w:val="single" w:sz="8" w:space="0" w:color="auto"/>
            </w:tcBorders>
            <w:shd w:val="clear" w:color="auto" w:fill="auto"/>
            <w:hideMark/>
          </w:tcPr>
          <w:p w14:paraId="5E4B82D7"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-6%</w:t>
            </w:r>
          </w:p>
        </w:tc>
      </w:tr>
      <w:tr w:rsidR="00D91CFF" w:rsidRPr="00531702" w14:paraId="7468F5A4" w14:textId="77777777" w:rsidTr="00ED182C">
        <w:trPr>
          <w:trHeight w:val="540"/>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14:paraId="7275E7C8" w14:textId="77777777" w:rsidR="00531702" w:rsidRPr="00531702" w:rsidRDefault="00531702" w:rsidP="00531702">
            <w:pPr>
              <w:spacing w:after="0" w:line="240" w:lineRule="auto"/>
              <w:rPr>
                <w:rFonts w:ascii="Times New Roman" w:eastAsia="Times New Roman" w:hAnsi="Times New Roman" w:cs="Times New Roman"/>
                <w:sz w:val="20"/>
                <w:szCs w:val="20"/>
                <w:lang w:eastAsia="lv-LV"/>
              </w:rPr>
            </w:pPr>
            <w:r w:rsidRPr="00531702">
              <w:rPr>
                <w:rFonts w:ascii="Times New Roman" w:eastAsia="Times New Roman" w:hAnsi="Times New Roman" w:cs="Times New Roman"/>
                <w:sz w:val="20"/>
                <w:szCs w:val="20"/>
                <w:lang w:eastAsia="lv-LV"/>
              </w:rPr>
              <w:t>neto apgrozījums uz vienu nodarbināto, EUR</w:t>
            </w:r>
          </w:p>
        </w:tc>
        <w:tc>
          <w:tcPr>
            <w:tcW w:w="1276" w:type="dxa"/>
            <w:tcBorders>
              <w:top w:val="single" w:sz="8" w:space="0" w:color="auto"/>
              <w:left w:val="nil"/>
              <w:bottom w:val="single" w:sz="8" w:space="0" w:color="auto"/>
              <w:right w:val="nil"/>
            </w:tcBorders>
            <w:shd w:val="clear" w:color="auto" w:fill="auto"/>
            <w:noWrap/>
            <w:hideMark/>
          </w:tcPr>
          <w:p w14:paraId="3049CB0F"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58 362</w:t>
            </w:r>
          </w:p>
        </w:tc>
        <w:tc>
          <w:tcPr>
            <w:tcW w:w="1133" w:type="dxa"/>
            <w:tcBorders>
              <w:top w:val="single" w:sz="8" w:space="0" w:color="auto"/>
              <w:left w:val="single" w:sz="8" w:space="0" w:color="auto"/>
              <w:bottom w:val="single" w:sz="8" w:space="0" w:color="auto"/>
              <w:right w:val="single" w:sz="8" w:space="0" w:color="auto"/>
            </w:tcBorders>
            <w:shd w:val="clear" w:color="auto" w:fill="auto"/>
            <w:noWrap/>
            <w:hideMark/>
          </w:tcPr>
          <w:p w14:paraId="19FFCB67"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65 440</w:t>
            </w:r>
          </w:p>
        </w:tc>
        <w:tc>
          <w:tcPr>
            <w:tcW w:w="1135" w:type="dxa"/>
            <w:tcBorders>
              <w:top w:val="single" w:sz="8" w:space="0" w:color="auto"/>
              <w:left w:val="nil"/>
              <w:bottom w:val="single" w:sz="8" w:space="0" w:color="auto"/>
              <w:right w:val="single" w:sz="8" w:space="0" w:color="auto"/>
            </w:tcBorders>
            <w:shd w:val="clear" w:color="auto" w:fill="auto"/>
            <w:noWrap/>
            <w:hideMark/>
          </w:tcPr>
          <w:p w14:paraId="052AF6CD" w14:textId="77777777" w:rsidR="00531702" w:rsidRPr="00531702" w:rsidRDefault="00531702" w:rsidP="00531702">
            <w:pPr>
              <w:spacing w:after="0" w:line="240" w:lineRule="auto"/>
              <w:jc w:val="right"/>
              <w:rPr>
                <w:rFonts w:ascii="Times New Roman" w:eastAsia="Times New Roman" w:hAnsi="Times New Roman" w:cs="Times New Roman"/>
                <w:sz w:val="18"/>
                <w:szCs w:val="18"/>
                <w:lang w:eastAsia="lv-LV"/>
              </w:rPr>
            </w:pPr>
            <w:r w:rsidRPr="00531702">
              <w:rPr>
                <w:rFonts w:ascii="Times New Roman" w:eastAsia="Times New Roman" w:hAnsi="Times New Roman" w:cs="Times New Roman"/>
                <w:sz w:val="18"/>
                <w:szCs w:val="18"/>
                <w:lang w:eastAsia="lv-LV"/>
              </w:rPr>
              <w:t>67 778</w:t>
            </w:r>
          </w:p>
        </w:tc>
        <w:tc>
          <w:tcPr>
            <w:tcW w:w="1134" w:type="dxa"/>
            <w:tcBorders>
              <w:top w:val="single" w:sz="8" w:space="0" w:color="auto"/>
              <w:left w:val="nil"/>
              <w:bottom w:val="single" w:sz="8" w:space="0" w:color="auto"/>
              <w:right w:val="single" w:sz="8" w:space="0" w:color="auto"/>
            </w:tcBorders>
            <w:shd w:val="clear" w:color="auto" w:fill="auto"/>
            <w:noWrap/>
            <w:hideMark/>
          </w:tcPr>
          <w:p w14:paraId="5C4ADBC8"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2 338</w:t>
            </w:r>
          </w:p>
        </w:tc>
        <w:tc>
          <w:tcPr>
            <w:tcW w:w="1134" w:type="dxa"/>
            <w:tcBorders>
              <w:top w:val="single" w:sz="8" w:space="0" w:color="auto"/>
              <w:left w:val="nil"/>
              <w:bottom w:val="single" w:sz="8" w:space="0" w:color="auto"/>
              <w:right w:val="single" w:sz="8" w:space="0" w:color="auto"/>
            </w:tcBorders>
            <w:shd w:val="clear" w:color="auto" w:fill="auto"/>
            <w:hideMark/>
          </w:tcPr>
          <w:p w14:paraId="3EDE622C" w14:textId="77777777" w:rsidR="00531702" w:rsidRPr="00531702" w:rsidRDefault="00531702" w:rsidP="00531702">
            <w:pPr>
              <w:spacing w:after="0" w:line="240" w:lineRule="auto"/>
              <w:jc w:val="right"/>
              <w:rPr>
                <w:rFonts w:ascii="Times New Roman" w:eastAsia="Times New Roman" w:hAnsi="Times New Roman" w:cs="Times New Roman"/>
                <w:color w:val="000000"/>
                <w:sz w:val="18"/>
                <w:szCs w:val="18"/>
                <w:lang w:eastAsia="lv-LV"/>
              </w:rPr>
            </w:pPr>
            <w:r w:rsidRPr="00531702">
              <w:rPr>
                <w:rFonts w:ascii="Times New Roman" w:eastAsia="Times New Roman" w:hAnsi="Times New Roman" w:cs="Times New Roman"/>
                <w:color w:val="000000"/>
                <w:sz w:val="18"/>
                <w:szCs w:val="18"/>
                <w:lang w:eastAsia="lv-LV"/>
              </w:rPr>
              <w:t>4%</w:t>
            </w:r>
          </w:p>
        </w:tc>
      </w:tr>
    </w:tbl>
    <w:p w14:paraId="5BED0C57" w14:textId="47323829" w:rsidR="00531702" w:rsidRPr="008C759D" w:rsidRDefault="00531702" w:rsidP="00D91CFF">
      <w:pPr>
        <w:tabs>
          <w:tab w:val="right" w:pos="8640"/>
        </w:tabs>
        <w:spacing w:before="120" w:after="120" w:line="276" w:lineRule="auto"/>
        <w:jc w:val="both"/>
        <w:rPr>
          <w:rFonts w:ascii="Times New Roman" w:eastAsia="Calibri" w:hAnsi="Times New Roman" w:cs="Times New Roman"/>
        </w:rPr>
      </w:pPr>
    </w:p>
    <w:sectPr w:rsidR="00531702" w:rsidRPr="008C759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58CA" w14:textId="77777777" w:rsidR="0007581E" w:rsidRDefault="0007581E" w:rsidP="0007581E">
      <w:pPr>
        <w:spacing w:after="0" w:line="240" w:lineRule="auto"/>
      </w:pPr>
      <w:r>
        <w:separator/>
      </w:r>
    </w:p>
  </w:endnote>
  <w:endnote w:type="continuationSeparator" w:id="0">
    <w:p w14:paraId="3F37FD64" w14:textId="77777777" w:rsidR="0007581E" w:rsidRDefault="0007581E" w:rsidP="0007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761387"/>
      <w:docPartObj>
        <w:docPartGallery w:val="Page Numbers (Bottom of Page)"/>
        <w:docPartUnique/>
      </w:docPartObj>
    </w:sdtPr>
    <w:sdtEndPr>
      <w:rPr>
        <w:noProof/>
      </w:rPr>
    </w:sdtEndPr>
    <w:sdtContent>
      <w:p w14:paraId="3355F998" w14:textId="4C00345E" w:rsidR="0007581E" w:rsidRDefault="000758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3BE78" w14:textId="77777777" w:rsidR="0007581E" w:rsidRDefault="00075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DB37" w14:textId="77777777" w:rsidR="0007581E" w:rsidRDefault="0007581E" w:rsidP="0007581E">
      <w:pPr>
        <w:spacing w:after="0" w:line="240" w:lineRule="auto"/>
      </w:pPr>
      <w:r>
        <w:separator/>
      </w:r>
    </w:p>
  </w:footnote>
  <w:footnote w:type="continuationSeparator" w:id="0">
    <w:p w14:paraId="1CBA9506" w14:textId="77777777" w:rsidR="0007581E" w:rsidRDefault="0007581E" w:rsidP="0007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2811"/>
    <w:multiLevelType w:val="hybridMultilevel"/>
    <w:tmpl w:val="C010BD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4B"/>
    <w:rsid w:val="0007581E"/>
    <w:rsid w:val="00277CB4"/>
    <w:rsid w:val="002C5134"/>
    <w:rsid w:val="0033433A"/>
    <w:rsid w:val="00377184"/>
    <w:rsid w:val="003C5FA2"/>
    <w:rsid w:val="003D2322"/>
    <w:rsid w:val="003E1A92"/>
    <w:rsid w:val="00454D96"/>
    <w:rsid w:val="004D10C0"/>
    <w:rsid w:val="00531702"/>
    <w:rsid w:val="00664CE7"/>
    <w:rsid w:val="00666D51"/>
    <w:rsid w:val="006F1B73"/>
    <w:rsid w:val="007F6998"/>
    <w:rsid w:val="0082624B"/>
    <w:rsid w:val="008853C1"/>
    <w:rsid w:val="008929B5"/>
    <w:rsid w:val="008C759D"/>
    <w:rsid w:val="00930F38"/>
    <w:rsid w:val="009D7747"/>
    <w:rsid w:val="00A275FD"/>
    <w:rsid w:val="00B1560A"/>
    <w:rsid w:val="00B93EEC"/>
    <w:rsid w:val="00BC2F07"/>
    <w:rsid w:val="00C15387"/>
    <w:rsid w:val="00C9768E"/>
    <w:rsid w:val="00D91CFF"/>
    <w:rsid w:val="00D976E8"/>
    <w:rsid w:val="00DF3B0F"/>
    <w:rsid w:val="00E26B73"/>
    <w:rsid w:val="00E81C20"/>
    <w:rsid w:val="00EB59B3"/>
    <w:rsid w:val="00ED182C"/>
    <w:rsid w:val="00F83F02"/>
    <w:rsid w:val="00F91F43"/>
    <w:rsid w:val="00FD7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C996"/>
  <w15:chartTrackingRefBased/>
  <w15:docId w15:val="{EB213E4D-FA26-4225-826C-DC83FCF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F43"/>
    <w:pPr>
      <w:spacing w:after="0" w:line="240" w:lineRule="auto"/>
      <w:ind w:left="720"/>
      <w:contextualSpacing/>
    </w:pPr>
    <w:rPr>
      <w:rFonts w:ascii="Calibri" w:hAnsi="Calibri" w:cs="Times New Roman"/>
      <w:lang w:eastAsia="lv-LV"/>
    </w:rPr>
  </w:style>
  <w:style w:type="character" w:customStyle="1" w:styleId="ListParagraphChar">
    <w:name w:val="List Paragraph Char"/>
    <w:link w:val="ListParagraph"/>
    <w:uiPriority w:val="34"/>
    <w:locked/>
    <w:rsid w:val="00F91F43"/>
    <w:rPr>
      <w:rFonts w:ascii="Calibri" w:hAnsi="Calibri" w:cs="Times New Roman"/>
      <w:lang w:eastAsia="lv-LV"/>
    </w:rPr>
  </w:style>
  <w:style w:type="paragraph" w:styleId="BalloonText">
    <w:name w:val="Balloon Text"/>
    <w:basedOn w:val="Normal"/>
    <w:link w:val="BalloonTextChar"/>
    <w:uiPriority w:val="99"/>
    <w:semiHidden/>
    <w:unhideWhenUsed/>
    <w:rsid w:val="0037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84"/>
    <w:rPr>
      <w:rFonts w:ascii="Segoe UI" w:hAnsi="Segoe UI" w:cs="Segoe UI"/>
      <w:sz w:val="18"/>
      <w:szCs w:val="18"/>
    </w:rPr>
  </w:style>
  <w:style w:type="paragraph" w:styleId="Header">
    <w:name w:val="header"/>
    <w:basedOn w:val="Normal"/>
    <w:link w:val="HeaderChar"/>
    <w:uiPriority w:val="99"/>
    <w:unhideWhenUsed/>
    <w:rsid w:val="000758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581E"/>
  </w:style>
  <w:style w:type="paragraph" w:styleId="Footer">
    <w:name w:val="footer"/>
    <w:basedOn w:val="Normal"/>
    <w:link w:val="FooterChar"/>
    <w:uiPriority w:val="99"/>
    <w:unhideWhenUsed/>
    <w:rsid w:val="000758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581E"/>
  </w:style>
  <w:style w:type="paragraph" w:styleId="PlainText">
    <w:name w:val="Plain Text"/>
    <w:basedOn w:val="Normal"/>
    <w:link w:val="PlainTextChar"/>
    <w:uiPriority w:val="99"/>
    <w:unhideWhenUsed/>
    <w:rsid w:val="00E81C2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81C2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9399">
      <w:bodyDiv w:val="1"/>
      <w:marLeft w:val="0"/>
      <w:marRight w:val="0"/>
      <w:marTop w:val="0"/>
      <w:marBottom w:val="0"/>
      <w:divBdr>
        <w:top w:val="none" w:sz="0" w:space="0" w:color="auto"/>
        <w:left w:val="none" w:sz="0" w:space="0" w:color="auto"/>
        <w:bottom w:val="none" w:sz="0" w:space="0" w:color="auto"/>
        <w:right w:val="none" w:sz="0" w:space="0" w:color="auto"/>
      </w:divBdr>
    </w:div>
    <w:div w:id="1476025298">
      <w:bodyDiv w:val="1"/>
      <w:marLeft w:val="0"/>
      <w:marRight w:val="0"/>
      <w:marTop w:val="0"/>
      <w:marBottom w:val="0"/>
      <w:divBdr>
        <w:top w:val="none" w:sz="0" w:space="0" w:color="auto"/>
        <w:left w:val="none" w:sz="0" w:space="0" w:color="auto"/>
        <w:bottom w:val="none" w:sz="0" w:space="0" w:color="auto"/>
        <w:right w:val="none" w:sz="0" w:space="0" w:color="auto"/>
      </w:divBdr>
    </w:div>
    <w:div w:id="20875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3453-35B5-4BBF-8248-D06D1254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8287</Words>
  <Characters>4724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Paņko</dc:creator>
  <cp:keywords/>
  <dc:description/>
  <cp:lastModifiedBy>Rolands Paņko</cp:lastModifiedBy>
  <cp:revision>14</cp:revision>
  <cp:lastPrinted>2020-05-20T07:22:00Z</cp:lastPrinted>
  <dcterms:created xsi:type="dcterms:W3CDTF">2020-05-20T05:57:00Z</dcterms:created>
  <dcterms:modified xsi:type="dcterms:W3CDTF">2020-05-20T07:27:00Z</dcterms:modified>
</cp:coreProperties>
</file>