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C229" w14:textId="77777777" w:rsidR="00E354F3" w:rsidRPr="0016623C" w:rsidRDefault="00E354F3" w:rsidP="00E354F3">
      <w:pPr>
        <w:tabs>
          <w:tab w:val="right" w:pos="8640"/>
        </w:tabs>
        <w:spacing w:after="0" w:line="276" w:lineRule="auto"/>
        <w:jc w:val="center"/>
        <w:rPr>
          <w:rFonts w:ascii="Century Gothic" w:eastAsia="Calibri" w:hAnsi="Century Gothic" w:cs="Times New Roman"/>
          <w:b/>
          <w:sz w:val="28"/>
          <w:szCs w:val="28"/>
        </w:rPr>
      </w:pPr>
      <w:r w:rsidRPr="0016623C">
        <w:rPr>
          <w:rFonts w:ascii="Century Gothic" w:eastAsia="Calibri" w:hAnsi="Century Gothic" w:cs="Times New Roman"/>
          <w:b/>
          <w:sz w:val="28"/>
          <w:szCs w:val="28"/>
        </w:rPr>
        <w:t xml:space="preserve">AS “Attīstības finanšu institūcija </w:t>
      </w:r>
      <w:proofErr w:type="spellStart"/>
      <w:r w:rsidRPr="0016623C">
        <w:rPr>
          <w:rFonts w:ascii="Century Gothic" w:eastAsia="Calibri" w:hAnsi="Century Gothic" w:cs="Times New Roman"/>
          <w:b/>
          <w:sz w:val="28"/>
          <w:szCs w:val="28"/>
        </w:rPr>
        <w:t>Altum</w:t>
      </w:r>
      <w:proofErr w:type="spellEnd"/>
      <w:r w:rsidRPr="0016623C">
        <w:rPr>
          <w:rFonts w:ascii="Century Gothic" w:eastAsia="Calibri" w:hAnsi="Century Gothic" w:cs="Times New Roman"/>
          <w:b/>
          <w:sz w:val="28"/>
          <w:szCs w:val="28"/>
        </w:rPr>
        <w:t xml:space="preserve">” </w:t>
      </w:r>
    </w:p>
    <w:p w14:paraId="70A278FE" w14:textId="2BC186B2" w:rsidR="00E354F3" w:rsidRPr="0016623C" w:rsidRDefault="00E354F3" w:rsidP="00E354F3">
      <w:pPr>
        <w:tabs>
          <w:tab w:val="right" w:pos="8640"/>
        </w:tabs>
        <w:spacing w:after="0" w:line="276" w:lineRule="auto"/>
        <w:jc w:val="center"/>
        <w:rPr>
          <w:rFonts w:ascii="Century Gothic" w:eastAsia="Calibri" w:hAnsi="Century Gothic" w:cs="Times New Roman"/>
          <w:b/>
          <w:sz w:val="28"/>
          <w:szCs w:val="28"/>
        </w:rPr>
      </w:pPr>
      <w:r w:rsidRPr="0016623C">
        <w:rPr>
          <w:rFonts w:ascii="Century Gothic" w:eastAsia="Calibri" w:hAnsi="Century Gothic" w:cs="Times New Roman"/>
          <w:b/>
          <w:sz w:val="28"/>
          <w:szCs w:val="28"/>
        </w:rPr>
        <w:t xml:space="preserve">vidēja termiņa darbības stratēģijā 2019. - 2021. gadam izvirzīto finanšu un </w:t>
      </w:r>
      <w:proofErr w:type="spellStart"/>
      <w:r w:rsidRPr="0016623C">
        <w:rPr>
          <w:rFonts w:ascii="Century Gothic" w:eastAsia="Calibri" w:hAnsi="Century Gothic" w:cs="Times New Roman"/>
          <w:b/>
          <w:sz w:val="28"/>
          <w:szCs w:val="28"/>
        </w:rPr>
        <w:t>nefinanšu</w:t>
      </w:r>
      <w:proofErr w:type="spellEnd"/>
      <w:r w:rsidRPr="0016623C">
        <w:rPr>
          <w:rFonts w:ascii="Century Gothic" w:eastAsia="Calibri" w:hAnsi="Century Gothic" w:cs="Times New Roman"/>
          <w:b/>
          <w:sz w:val="28"/>
          <w:szCs w:val="28"/>
        </w:rPr>
        <w:t xml:space="preserve"> mērķu īstenošanas rezultāti 20</w:t>
      </w:r>
      <w:r w:rsidR="0073224A" w:rsidRPr="0016623C">
        <w:rPr>
          <w:rFonts w:ascii="Century Gothic" w:eastAsia="Calibri" w:hAnsi="Century Gothic" w:cs="Times New Roman"/>
          <w:b/>
          <w:sz w:val="28"/>
          <w:szCs w:val="28"/>
        </w:rPr>
        <w:t>2</w:t>
      </w:r>
      <w:r w:rsidR="00B54B71" w:rsidRPr="0016623C">
        <w:rPr>
          <w:rFonts w:ascii="Century Gothic" w:eastAsia="Calibri" w:hAnsi="Century Gothic" w:cs="Times New Roman"/>
          <w:b/>
          <w:sz w:val="28"/>
          <w:szCs w:val="28"/>
        </w:rPr>
        <w:t>1</w:t>
      </w:r>
      <w:r w:rsidRPr="0016623C">
        <w:rPr>
          <w:rFonts w:ascii="Century Gothic" w:eastAsia="Calibri" w:hAnsi="Century Gothic" w:cs="Times New Roman"/>
          <w:b/>
          <w:sz w:val="28"/>
          <w:szCs w:val="28"/>
        </w:rPr>
        <w:t>. gadā</w:t>
      </w:r>
      <w:r w:rsidR="00764964" w:rsidRPr="0016623C">
        <w:rPr>
          <w:rFonts w:ascii="Century Gothic" w:eastAsia="Calibri" w:hAnsi="Century Gothic" w:cs="Times New Roman"/>
          <w:b/>
          <w:sz w:val="28"/>
          <w:szCs w:val="28"/>
        </w:rPr>
        <w:t xml:space="preserve"> </w:t>
      </w:r>
    </w:p>
    <w:p w14:paraId="772AEF27" w14:textId="3B37840D" w:rsidR="00E354F3" w:rsidRPr="0016623C" w:rsidRDefault="00E354F3" w:rsidP="00E354F3">
      <w:pPr>
        <w:spacing w:before="240" w:after="120" w:line="276" w:lineRule="auto"/>
        <w:jc w:val="both"/>
        <w:rPr>
          <w:rFonts w:ascii="Century Gothic" w:eastAsia="Calibri" w:hAnsi="Century Gothic" w:cs="Times New Roman"/>
          <w:bCs/>
          <w:sz w:val="24"/>
          <w:szCs w:val="24"/>
        </w:rPr>
      </w:pPr>
      <w:bookmarkStart w:id="0" w:name="_Hlk483895731"/>
      <w:r w:rsidRPr="0016623C">
        <w:rPr>
          <w:rFonts w:ascii="Century Gothic" w:eastAsia="Calibri" w:hAnsi="Century Gothic" w:cs="Times New Roman"/>
          <w:b/>
          <w:sz w:val="24"/>
          <w:szCs w:val="24"/>
        </w:rPr>
        <w:t>1.</w:t>
      </w:r>
      <w:r w:rsidRPr="0016623C">
        <w:rPr>
          <w:rFonts w:ascii="Century Gothic" w:eastAsia="Calibri" w:hAnsi="Century Gothic" w:cs="Times New Roman"/>
          <w:sz w:val="24"/>
          <w:szCs w:val="24"/>
        </w:rPr>
        <w:t xml:space="preserve"> </w:t>
      </w:r>
      <w:r w:rsidRPr="0016623C">
        <w:rPr>
          <w:rFonts w:ascii="Century Gothic" w:eastAsia="Calibri" w:hAnsi="Century Gothic" w:cs="Times New Roman"/>
          <w:b/>
          <w:sz w:val="24"/>
          <w:szCs w:val="24"/>
        </w:rPr>
        <w:t>Finanšu mērķ</w:t>
      </w:r>
      <w:bookmarkEnd w:id="0"/>
      <w:r w:rsidR="00D47019" w:rsidRPr="0016623C">
        <w:rPr>
          <w:rFonts w:ascii="Century Gothic" w:eastAsia="Calibri" w:hAnsi="Century Gothic" w:cs="Times New Roman"/>
          <w:b/>
          <w:sz w:val="24"/>
          <w:szCs w:val="24"/>
        </w:rPr>
        <w:t>i</w:t>
      </w:r>
      <w:r w:rsidRPr="0016623C">
        <w:rPr>
          <w:rFonts w:ascii="Century Gothic" w:eastAsia="Calibri" w:hAnsi="Century Gothic" w:cs="Times New Roman"/>
          <w:b/>
          <w:sz w:val="24"/>
          <w:szCs w:val="24"/>
        </w:rPr>
        <w:t xml:space="preserve"> </w:t>
      </w:r>
    </w:p>
    <w:p w14:paraId="3699F274" w14:textId="6DD28020" w:rsidR="00C232E9" w:rsidRPr="00524DD9" w:rsidRDefault="00764964" w:rsidP="00A557BB">
      <w:pPr>
        <w:spacing w:before="120" w:after="120" w:line="276" w:lineRule="auto"/>
        <w:jc w:val="both"/>
        <w:rPr>
          <w:rFonts w:ascii="Century Gothic" w:eastAsia="Calibri" w:hAnsi="Century Gothic" w:cs="Times New Roman"/>
          <w:sz w:val="24"/>
          <w:szCs w:val="24"/>
        </w:rPr>
      </w:pPr>
      <w:r w:rsidRPr="0016623C">
        <w:rPr>
          <w:rFonts w:ascii="Century Gothic" w:eastAsia="Calibri" w:hAnsi="Century Gothic" w:cs="Times New Roman"/>
          <w:sz w:val="24"/>
          <w:szCs w:val="24"/>
        </w:rPr>
        <w:t>2</w:t>
      </w:r>
      <w:r w:rsidR="00E354F3" w:rsidRPr="0016623C">
        <w:rPr>
          <w:rFonts w:ascii="Century Gothic" w:eastAsia="Calibri" w:hAnsi="Century Gothic" w:cs="Times New Roman"/>
          <w:sz w:val="24"/>
          <w:szCs w:val="24"/>
        </w:rPr>
        <w:t>0</w:t>
      </w:r>
      <w:r w:rsidR="0073224A" w:rsidRPr="0016623C">
        <w:rPr>
          <w:rFonts w:ascii="Century Gothic" w:eastAsia="Calibri" w:hAnsi="Century Gothic" w:cs="Times New Roman"/>
          <w:sz w:val="24"/>
          <w:szCs w:val="24"/>
        </w:rPr>
        <w:t>2</w:t>
      </w:r>
      <w:r w:rsidR="000F349A" w:rsidRPr="0016623C">
        <w:rPr>
          <w:rFonts w:ascii="Century Gothic" w:eastAsia="Calibri" w:hAnsi="Century Gothic" w:cs="Times New Roman"/>
          <w:sz w:val="24"/>
          <w:szCs w:val="24"/>
        </w:rPr>
        <w:t>1</w:t>
      </w:r>
      <w:r w:rsidR="00E354F3" w:rsidRPr="0016623C">
        <w:rPr>
          <w:rFonts w:ascii="Century Gothic" w:eastAsia="Calibri" w:hAnsi="Century Gothic" w:cs="Times New Roman"/>
          <w:sz w:val="24"/>
          <w:szCs w:val="24"/>
        </w:rPr>
        <w:t>. gadā ir izpildīts stratēģijā noteiktais ALTUM galvenais finanšu mērķis, realizējot valsts atbalsta programmas, nodrošināt pozitīvu ALTUM kapitāla atdevi. Pārsniegti finanšu mērķi raksturojošie rādītāji.</w:t>
      </w:r>
      <w:r w:rsidR="00E354F3" w:rsidRPr="00524DD9">
        <w:rPr>
          <w:rFonts w:ascii="Century Gothic" w:eastAsia="Calibri" w:hAnsi="Century Gothic" w:cs="Times New Roman"/>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249"/>
        <w:gridCol w:w="1312"/>
        <w:gridCol w:w="1276"/>
        <w:gridCol w:w="1275"/>
        <w:gridCol w:w="1418"/>
      </w:tblGrid>
      <w:tr w:rsidR="00CC6C28" w:rsidRPr="00524DD9" w14:paraId="18CD1660" w14:textId="77777777" w:rsidTr="00DC0EE4">
        <w:trPr>
          <w:trHeight w:val="508"/>
        </w:trPr>
        <w:tc>
          <w:tcPr>
            <w:tcW w:w="3955" w:type="dxa"/>
            <w:shd w:val="clear" w:color="000000" w:fill="F2F2F2"/>
            <w:hideMark/>
          </w:tcPr>
          <w:p w14:paraId="0A3F8AFE" w14:textId="77777777" w:rsidR="00DC0EE4" w:rsidRDefault="00DC0EE4" w:rsidP="00936813">
            <w:pPr>
              <w:spacing w:after="0" w:line="240" w:lineRule="auto"/>
              <w:jc w:val="center"/>
              <w:rPr>
                <w:rFonts w:ascii="Century Gothic" w:eastAsia="Times New Roman" w:hAnsi="Century Gothic" w:cs="Times New Roman"/>
                <w:b/>
                <w:bCs/>
                <w:sz w:val="20"/>
                <w:szCs w:val="20"/>
                <w:lang w:eastAsia="lv-LV"/>
              </w:rPr>
            </w:pPr>
            <w:r w:rsidRPr="00DC0EE4">
              <w:rPr>
                <w:rFonts w:ascii="Century Gothic" w:eastAsia="Times New Roman" w:hAnsi="Century Gothic" w:cs="Times New Roman"/>
                <w:b/>
                <w:bCs/>
                <w:sz w:val="20"/>
                <w:szCs w:val="20"/>
                <w:lang w:eastAsia="lv-LV"/>
              </w:rPr>
              <w:t xml:space="preserve">Finanšu mērķi </w:t>
            </w:r>
          </w:p>
          <w:p w14:paraId="78C653F0" w14:textId="306BDA07" w:rsidR="00936813" w:rsidRPr="00524DD9" w:rsidRDefault="0016623C" w:rsidP="00936813">
            <w:pPr>
              <w:spacing w:after="0" w:line="240" w:lineRule="auto"/>
              <w:jc w:val="center"/>
              <w:rPr>
                <w:rFonts w:ascii="Century Gothic" w:eastAsia="Times New Roman" w:hAnsi="Century Gothic" w:cs="Times New Roman"/>
                <w:b/>
                <w:bCs/>
                <w:sz w:val="20"/>
                <w:szCs w:val="20"/>
                <w:lang w:eastAsia="lv-LV"/>
              </w:rPr>
            </w:pPr>
            <w:r>
              <w:rPr>
                <w:rFonts w:ascii="Century Gothic" w:eastAsia="Times New Roman" w:hAnsi="Century Gothic" w:cs="Times New Roman"/>
                <w:b/>
                <w:bCs/>
                <w:sz w:val="20"/>
                <w:szCs w:val="20"/>
                <w:lang w:eastAsia="lv-LV"/>
              </w:rPr>
              <w:t>11</w:t>
            </w:r>
            <w:r w:rsidR="00DC0EE4" w:rsidRPr="00DC0EE4">
              <w:rPr>
                <w:rFonts w:ascii="Century Gothic" w:eastAsia="Times New Roman" w:hAnsi="Century Gothic" w:cs="Times New Roman"/>
                <w:b/>
                <w:bCs/>
                <w:sz w:val="20"/>
                <w:szCs w:val="20"/>
                <w:lang w:eastAsia="lv-LV"/>
              </w:rPr>
              <w:t>.0</w:t>
            </w:r>
            <w:r>
              <w:rPr>
                <w:rFonts w:ascii="Century Gothic" w:eastAsia="Times New Roman" w:hAnsi="Century Gothic" w:cs="Times New Roman"/>
                <w:b/>
                <w:bCs/>
                <w:sz w:val="20"/>
                <w:szCs w:val="20"/>
                <w:lang w:eastAsia="lv-LV"/>
              </w:rPr>
              <w:t>3</w:t>
            </w:r>
            <w:r w:rsidR="00DC0EE4" w:rsidRPr="00DC0EE4">
              <w:rPr>
                <w:rFonts w:ascii="Century Gothic" w:eastAsia="Times New Roman" w:hAnsi="Century Gothic" w:cs="Times New Roman"/>
                <w:b/>
                <w:bCs/>
                <w:sz w:val="20"/>
                <w:szCs w:val="20"/>
                <w:lang w:eastAsia="lv-LV"/>
              </w:rPr>
              <w:t>.20</w:t>
            </w:r>
            <w:r>
              <w:rPr>
                <w:rFonts w:ascii="Century Gothic" w:eastAsia="Times New Roman" w:hAnsi="Century Gothic" w:cs="Times New Roman"/>
                <w:b/>
                <w:bCs/>
                <w:sz w:val="20"/>
                <w:szCs w:val="20"/>
                <w:lang w:eastAsia="lv-LV"/>
              </w:rPr>
              <w:t>21</w:t>
            </w:r>
            <w:r w:rsidR="00DC0EE4" w:rsidRPr="00DC0EE4">
              <w:rPr>
                <w:rFonts w:ascii="Century Gothic" w:eastAsia="Times New Roman" w:hAnsi="Century Gothic" w:cs="Times New Roman"/>
                <w:b/>
                <w:bCs/>
                <w:sz w:val="20"/>
                <w:szCs w:val="20"/>
                <w:lang w:eastAsia="lv-LV"/>
              </w:rPr>
              <w:t xml:space="preserve">. </w:t>
            </w:r>
            <w:r>
              <w:rPr>
                <w:rFonts w:ascii="Century Gothic" w:eastAsia="Times New Roman" w:hAnsi="Century Gothic" w:cs="Times New Roman"/>
                <w:b/>
                <w:bCs/>
                <w:sz w:val="20"/>
                <w:szCs w:val="20"/>
                <w:lang w:eastAsia="lv-LV"/>
              </w:rPr>
              <w:t>grozītajā un papildinātajā</w:t>
            </w:r>
            <w:r w:rsidR="00DC0EE4" w:rsidRPr="00DC0EE4">
              <w:rPr>
                <w:rFonts w:ascii="Century Gothic" w:eastAsia="Times New Roman" w:hAnsi="Century Gothic" w:cs="Times New Roman"/>
                <w:b/>
                <w:bCs/>
                <w:sz w:val="20"/>
                <w:szCs w:val="20"/>
                <w:lang w:eastAsia="lv-LV"/>
              </w:rPr>
              <w:t xml:space="preserve"> stratēģijā</w:t>
            </w:r>
            <w:r w:rsidR="00936813" w:rsidRPr="00524DD9">
              <w:rPr>
                <w:rFonts w:ascii="Century Gothic" w:eastAsia="Times New Roman" w:hAnsi="Century Gothic" w:cs="Times New Roman"/>
                <w:b/>
                <w:bCs/>
                <w:sz w:val="20"/>
                <w:szCs w:val="20"/>
                <w:lang w:eastAsia="lv-LV"/>
              </w:rPr>
              <w:t xml:space="preserve"> </w:t>
            </w:r>
          </w:p>
        </w:tc>
        <w:tc>
          <w:tcPr>
            <w:tcW w:w="1249" w:type="dxa"/>
            <w:shd w:val="clear" w:color="000000" w:fill="F2F2F2"/>
            <w:hideMark/>
          </w:tcPr>
          <w:p w14:paraId="6B8F1A6B" w14:textId="06979A60"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Fakts 20</w:t>
            </w:r>
            <w:r w:rsidR="0016623C">
              <w:rPr>
                <w:rFonts w:ascii="Century Gothic" w:eastAsia="Times New Roman" w:hAnsi="Century Gothic" w:cs="Times New Roman"/>
                <w:b/>
                <w:bCs/>
                <w:color w:val="000000"/>
                <w:sz w:val="20"/>
                <w:szCs w:val="20"/>
                <w:lang w:eastAsia="lv-LV"/>
              </w:rPr>
              <w:t>20</w:t>
            </w:r>
            <w:r w:rsidRPr="00524DD9">
              <w:rPr>
                <w:rFonts w:ascii="Century Gothic" w:eastAsia="Times New Roman" w:hAnsi="Century Gothic" w:cs="Times New Roman"/>
                <w:b/>
                <w:bCs/>
                <w:color w:val="000000"/>
                <w:sz w:val="20"/>
                <w:szCs w:val="20"/>
                <w:lang w:eastAsia="lv-LV"/>
              </w:rPr>
              <w:t>.gadā</w:t>
            </w:r>
          </w:p>
        </w:tc>
        <w:tc>
          <w:tcPr>
            <w:tcW w:w="1312" w:type="dxa"/>
            <w:shd w:val="clear" w:color="000000" w:fill="F2F2F2"/>
            <w:hideMark/>
          </w:tcPr>
          <w:p w14:paraId="6BF55B00" w14:textId="798A6F61"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Plānotais      20</w:t>
            </w:r>
            <w:r w:rsidR="0073224A" w:rsidRPr="00524DD9">
              <w:rPr>
                <w:rFonts w:ascii="Century Gothic" w:eastAsia="Times New Roman" w:hAnsi="Century Gothic" w:cs="Times New Roman"/>
                <w:b/>
                <w:bCs/>
                <w:color w:val="000000"/>
                <w:sz w:val="20"/>
                <w:szCs w:val="20"/>
                <w:lang w:eastAsia="lv-LV"/>
              </w:rPr>
              <w:t>2</w:t>
            </w:r>
            <w:r w:rsidR="0016623C">
              <w:rPr>
                <w:rFonts w:ascii="Century Gothic" w:eastAsia="Times New Roman" w:hAnsi="Century Gothic" w:cs="Times New Roman"/>
                <w:b/>
                <w:bCs/>
                <w:color w:val="000000"/>
                <w:sz w:val="20"/>
                <w:szCs w:val="20"/>
                <w:lang w:eastAsia="lv-LV"/>
              </w:rPr>
              <w:t>1</w:t>
            </w:r>
            <w:r w:rsidRPr="00524DD9">
              <w:rPr>
                <w:rFonts w:ascii="Century Gothic" w:eastAsia="Times New Roman" w:hAnsi="Century Gothic" w:cs="Times New Roman"/>
                <w:b/>
                <w:bCs/>
                <w:color w:val="000000"/>
                <w:sz w:val="20"/>
                <w:szCs w:val="20"/>
                <w:lang w:eastAsia="lv-LV"/>
              </w:rPr>
              <w:t>.gadā</w:t>
            </w:r>
          </w:p>
        </w:tc>
        <w:tc>
          <w:tcPr>
            <w:tcW w:w="1276" w:type="dxa"/>
            <w:shd w:val="clear" w:color="000000" w:fill="F2F2F2"/>
            <w:hideMark/>
          </w:tcPr>
          <w:p w14:paraId="3EB11100" w14:textId="7E2CABEB"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Fakts  20</w:t>
            </w:r>
            <w:r w:rsidR="0073224A" w:rsidRPr="00524DD9">
              <w:rPr>
                <w:rFonts w:ascii="Century Gothic" w:eastAsia="Times New Roman" w:hAnsi="Century Gothic" w:cs="Times New Roman"/>
                <w:b/>
                <w:bCs/>
                <w:color w:val="000000"/>
                <w:sz w:val="20"/>
                <w:szCs w:val="20"/>
                <w:lang w:eastAsia="lv-LV"/>
              </w:rPr>
              <w:t>2</w:t>
            </w:r>
            <w:r w:rsidR="0016623C">
              <w:rPr>
                <w:rFonts w:ascii="Century Gothic" w:eastAsia="Times New Roman" w:hAnsi="Century Gothic" w:cs="Times New Roman"/>
                <w:b/>
                <w:bCs/>
                <w:color w:val="000000"/>
                <w:sz w:val="20"/>
                <w:szCs w:val="20"/>
                <w:lang w:eastAsia="lv-LV"/>
              </w:rPr>
              <w:t>1</w:t>
            </w:r>
            <w:r w:rsidRPr="00524DD9">
              <w:rPr>
                <w:rFonts w:ascii="Century Gothic" w:eastAsia="Times New Roman" w:hAnsi="Century Gothic" w:cs="Times New Roman"/>
                <w:b/>
                <w:bCs/>
                <w:color w:val="000000"/>
                <w:sz w:val="20"/>
                <w:szCs w:val="20"/>
                <w:lang w:eastAsia="lv-LV"/>
              </w:rPr>
              <w:t>.gadā</w:t>
            </w:r>
          </w:p>
        </w:tc>
        <w:tc>
          <w:tcPr>
            <w:tcW w:w="1275" w:type="dxa"/>
            <w:shd w:val="clear" w:color="000000" w:fill="F2F2F2"/>
            <w:hideMark/>
          </w:tcPr>
          <w:p w14:paraId="29E60C89" w14:textId="77777777"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Novirze  no plānotā</w:t>
            </w:r>
          </w:p>
        </w:tc>
        <w:tc>
          <w:tcPr>
            <w:tcW w:w="1418" w:type="dxa"/>
            <w:shd w:val="clear" w:color="000000" w:fill="F2F2F2"/>
            <w:hideMark/>
          </w:tcPr>
          <w:p w14:paraId="797BADF2" w14:textId="77777777"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Novirze  no plānotā, %</w:t>
            </w:r>
          </w:p>
        </w:tc>
      </w:tr>
      <w:tr w:rsidR="00936813" w:rsidRPr="00524DD9" w14:paraId="2351C7F2" w14:textId="77777777" w:rsidTr="00DC0EE4">
        <w:trPr>
          <w:trHeight w:val="1035"/>
        </w:trPr>
        <w:tc>
          <w:tcPr>
            <w:tcW w:w="3955" w:type="dxa"/>
            <w:shd w:val="clear" w:color="auto" w:fill="auto"/>
            <w:hideMark/>
          </w:tcPr>
          <w:p w14:paraId="0EE0254A" w14:textId="77777777" w:rsidR="00936813" w:rsidRPr="00524DD9" w:rsidRDefault="00936813" w:rsidP="00936813">
            <w:pPr>
              <w:spacing w:after="0" w:line="240" w:lineRule="auto"/>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 xml:space="preserve">Stratēģijā minētais </w:t>
            </w:r>
            <w:r w:rsidRPr="00524DD9">
              <w:rPr>
                <w:rFonts w:ascii="Century Gothic" w:eastAsia="Times New Roman" w:hAnsi="Century Gothic" w:cs="Times New Roman"/>
                <w:b/>
                <w:bCs/>
                <w:sz w:val="20"/>
                <w:szCs w:val="20"/>
                <w:lang w:eastAsia="lv-LV"/>
              </w:rPr>
              <w:t>ALTUM galvenais finanšu mērķis, realizējot valsts atbalsta programmas, ir nodrošināt pozitīvu ALTUM kapitāla atdevi.</w:t>
            </w:r>
          </w:p>
        </w:tc>
        <w:tc>
          <w:tcPr>
            <w:tcW w:w="1249" w:type="dxa"/>
            <w:shd w:val="clear" w:color="auto" w:fill="auto"/>
            <w:hideMark/>
          </w:tcPr>
          <w:p w14:paraId="48033524" w14:textId="77777777" w:rsidR="00936813" w:rsidRPr="009163F2" w:rsidRDefault="00936813" w:rsidP="00936813">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 xml:space="preserve">Izpildīts </w:t>
            </w:r>
          </w:p>
        </w:tc>
        <w:tc>
          <w:tcPr>
            <w:tcW w:w="1312" w:type="dxa"/>
            <w:shd w:val="clear" w:color="auto" w:fill="auto"/>
            <w:hideMark/>
          </w:tcPr>
          <w:p w14:paraId="3E1A74D4" w14:textId="233F4607" w:rsidR="00936813" w:rsidRPr="009163F2" w:rsidRDefault="00936813" w:rsidP="00936813">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 xml:space="preserve">Izpildīt </w:t>
            </w:r>
          </w:p>
        </w:tc>
        <w:tc>
          <w:tcPr>
            <w:tcW w:w="1276" w:type="dxa"/>
            <w:shd w:val="clear" w:color="auto" w:fill="auto"/>
            <w:hideMark/>
          </w:tcPr>
          <w:p w14:paraId="1800BF30" w14:textId="77777777" w:rsidR="00936813" w:rsidRPr="009163F2" w:rsidRDefault="00936813" w:rsidP="00936813">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Izpildīts</w:t>
            </w:r>
          </w:p>
        </w:tc>
        <w:tc>
          <w:tcPr>
            <w:tcW w:w="1275" w:type="dxa"/>
            <w:shd w:val="clear" w:color="auto" w:fill="auto"/>
            <w:hideMark/>
          </w:tcPr>
          <w:p w14:paraId="6FB34391" w14:textId="77777777" w:rsidR="00936813" w:rsidRPr="009163F2" w:rsidRDefault="00936813" w:rsidP="00936813">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N</w:t>
            </w:r>
          </w:p>
        </w:tc>
        <w:tc>
          <w:tcPr>
            <w:tcW w:w="1418" w:type="dxa"/>
            <w:shd w:val="clear" w:color="auto" w:fill="auto"/>
            <w:hideMark/>
          </w:tcPr>
          <w:p w14:paraId="4B33F52E" w14:textId="77777777" w:rsidR="00936813" w:rsidRPr="009163F2" w:rsidRDefault="00936813" w:rsidP="00936813">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N</w:t>
            </w:r>
          </w:p>
        </w:tc>
      </w:tr>
      <w:tr w:rsidR="0016623C" w:rsidRPr="00524DD9" w14:paraId="2C1D0E5D" w14:textId="77777777" w:rsidTr="00DC0EE4">
        <w:trPr>
          <w:trHeight w:val="525"/>
        </w:trPr>
        <w:tc>
          <w:tcPr>
            <w:tcW w:w="3955" w:type="dxa"/>
            <w:shd w:val="clear" w:color="auto" w:fill="auto"/>
            <w:hideMark/>
          </w:tcPr>
          <w:p w14:paraId="1370476A" w14:textId="77777777" w:rsidR="0016623C" w:rsidRPr="00524DD9" w:rsidRDefault="0016623C" w:rsidP="0016623C">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Nr.1.                           </w:t>
            </w:r>
            <w:r w:rsidRPr="00524DD9">
              <w:rPr>
                <w:rFonts w:ascii="Century Gothic" w:eastAsia="Times New Roman" w:hAnsi="Century Gothic" w:cs="Times New Roman"/>
                <w:b/>
                <w:bCs/>
                <w:color w:val="000000"/>
                <w:sz w:val="20"/>
                <w:szCs w:val="20"/>
                <w:lang w:eastAsia="lv-LV"/>
              </w:rPr>
              <w:t xml:space="preserve">Kapitāla </w:t>
            </w:r>
            <w:proofErr w:type="spellStart"/>
            <w:r w:rsidRPr="00524DD9">
              <w:rPr>
                <w:rFonts w:ascii="Century Gothic" w:eastAsia="Times New Roman" w:hAnsi="Century Gothic" w:cs="Times New Roman"/>
                <w:b/>
                <w:bCs/>
                <w:color w:val="000000"/>
                <w:sz w:val="20"/>
                <w:szCs w:val="20"/>
                <w:lang w:eastAsia="lv-LV"/>
              </w:rPr>
              <w:t>atdeve</w:t>
            </w:r>
            <w:proofErr w:type="spellEnd"/>
            <w:r w:rsidRPr="00524DD9">
              <w:rPr>
                <w:rFonts w:ascii="Century Gothic" w:eastAsia="Times New Roman" w:hAnsi="Century Gothic" w:cs="Times New Roman"/>
                <w:b/>
                <w:bCs/>
                <w:color w:val="000000"/>
                <w:sz w:val="20"/>
                <w:szCs w:val="20"/>
                <w:lang w:eastAsia="lv-LV"/>
              </w:rPr>
              <w:t xml:space="preserve"> ROE, %</w:t>
            </w:r>
          </w:p>
        </w:tc>
        <w:tc>
          <w:tcPr>
            <w:tcW w:w="1249" w:type="dxa"/>
            <w:shd w:val="clear" w:color="auto" w:fill="auto"/>
            <w:hideMark/>
          </w:tcPr>
          <w:p w14:paraId="55705F56" w14:textId="7200A2E0"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sz w:val="20"/>
                <w:szCs w:val="20"/>
                <w:lang w:eastAsia="lv-LV"/>
              </w:rPr>
              <w:t>1.8%</w:t>
            </w:r>
          </w:p>
        </w:tc>
        <w:tc>
          <w:tcPr>
            <w:tcW w:w="1312" w:type="dxa"/>
            <w:shd w:val="clear" w:color="auto" w:fill="auto"/>
            <w:hideMark/>
          </w:tcPr>
          <w:p w14:paraId="53063810" w14:textId="2DC2BBD9"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&gt;=0.10%</w:t>
            </w:r>
          </w:p>
        </w:tc>
        <w:tc>
          <w:tcPr>
            <w:tcW w:w="1276" w:type="dxa"/>
            <w:shd w:val="clear" w:color="auto" w:fill="auto"/>
            <w:noWrap/>
            <w:hideMark/>
          </w:tcPr>
          <w:p w14:paraId="30A1A524" w14:textId="615F2E98" w:rsidR="0016623C" w:rsidRPr="009163F2" w:rsidRDefault="0016623C"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3.4%</w:t>
            </w:r>
          </w:p>
        </w:tc>
        <w:tc>
          <w:tcPr>
            <w:tcW w:w="1275" w:type="dxa"/>
            <w:shd w:val="clear" w:color="auto" w:fill="auto"/>
            <w:hideMark/>
          </w:tcPr>
          <w:p w14:paraId="44491C10" w14:textId="5E7C607F"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3.3%</w:t>
            </w:r>
          </w:p>
        </w:tc>
        <w:tc>
          <w:tcPr>
            <w:tcW w:w="1418" w:type="dxa"/>
            <w:shd w:val="clear" w:color="auto" w:fill="auto"/>
            <w:hideMark/>
          </w:tcPr>
          <w:p w14:paraId="43C65E50" w14:textId="7D4275EC"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3260%</w:t>
            </w:r>
          </w:p>
        </w:tc>
      </w:tr>
      <w:tr w:rsidR="0016623C" w:rsidRPr="00524DD9" w14:paraId="3EAE9761" w14:textId="77777777" w:rsidTr="00DC0EE4">
        <w:trPr>
          <w:trHeight w:val="525"/>
        </w:trPr>
        <w:tc>
          <w:tcPr>
            <w:tcW w:w="3955" w:type="dxa"/>
            <w:shd w:val="clear" w:color="auto" w:fill="auto"/>
            <w:hideMark/>
          </w:tcPr>
          <w:p w14:paraId="71BCBD74" w14:textId="77777777" w:rsidR="0016623C" w:rsidRPr="00524DD9" w:rsidRDefault="0016623C" w:rsidP="0016623C">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Nr.2.                             </w:t>
            </w:r>
            <w:r w:rsidRPr="00524DD9">
              <w:rPr>
                <w:rFonts w:ascii="Century Gothic" w:eastAsia="Times New Roman" w:hAnsi="Century Gothic" w:cs="Times New Roman"/>
                <w:b/>
                <w:bCs/>
                <w:color w:val="000000"/>
                <w:sz w:val="20"/>
                <w:szCs w:val="20"/>
                <w:lang w:eastAsia="lv-LV"/>
              </w:rPr>
              <w:t>Peļņa vai zaudējumi, tūkst. EUR</w:t>
            </w:r>
          </w:p>
        </w:tc>
        <w:tc>
          <w:tcPr>
            <w:tcW w:w="1249" w:type="dxa"/>
            <w:shd w:val="clear" w:color="auto" w:fill="auto"/>
            <w:noWrap/>
            <w:hideMark/>
          </w:tcPr>
          <w:p w14:paraId="70BD09C4" w14:textId="3C062604" w:rsidR="0016623C" w:rsidRPr="009163F2" w:rsidRDefault="0016623C"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5 539</w:t>
            </w:r>
          </w:p>
        </w:tc>
        <w:tc>
          <w:tcPr>
            <w:tcW w:w="1312" w:type="dxa"/>
            <w:shd w:val="clear" w:color="auto" w:fill="auto"/>
            <w:noWrap/>
            <w:hideMark/>
          </w:tcPr>
          <w:p w14:paraId="1F2CA382" w14:textId="538C2F3B" w:rsidR="0016623C" w:rsidRPr="009163F2" w:rsidRDefault="00394026"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&gt;400</w:t>
            </w:r>
          </w:p>
        </w:tc>
        <w:tc>
          <w:tcPr>
            <w:tcW w:w="1276" w:type="dxa"/>
            <w:shd w:val="clear" w:color="auto" w:fill="auto"/>
            <w:noWrap/>
            <w:hideMark/>
          </w:tcPr>
          <w:p w14:paraId="0E897D15" w14:textId="7273B491" w:rsidR="0016623C" w:rsidRPr="009163F2" w:rsidRDefault="00394026"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13</w:t>
            </w:r>
            <w:r w:rsidR="0016623C" w:rsidRPr="009163F2">
              <w:rPr>
                <w:rFonts w:ascii="Century Gothic" w:eastAsia="Times New Roman" w:hAnsi="Century Gothic" w:cs="Times New Roman"/>
                <w:sz w:val="20"/>
                <w:szCs w:val="20"/>
                <w:lang w:eastAsia="lv-LV"/>
              </w:rPr>
              <w:t xml:space="preserve"> </w:t>
            </w:r>
            <w:r w:rsidRPr="009163F2">
              <w:rPr>
                <w:rFonts w:ascii="Century Gothic" w:eastAsia="Times New Roman" w:hAnsi="Century Gothic" w:cs="Times New Roman"/>
                <w:sz w:val="20"/>
                <w:szCs w:val="20"/>
                <w:lang w:eastAsia="lv-LV"/>
              </w:rPr>
              <w:t>82</w:t>
            </w:r>
            <w:r w:rsidR="0016623C" w:rsidRPr="009163F2">
              <w:rPr>
                <w:rFonts w:ascii="Century Gothic" w:eastAsia="Times New Roman" w:hAnsi="Century Gothic" w:cs="Times New Roman"/>
                <w:sz w:val="20"/>
                <w:szCs w:val="20"/>
                <w:lang w:eastAsia="lv-LV"/>
              </w:rPr>
              <w:t>9</w:t>
            </w:r>
          </w:p>
        </w:tc>
        <w:tc>
          <w:tcPr>
            <w:tcW w:w="1275" w:type="dxa"/>
            <w:shd w:val="clear" w:color="auto" w:fill="auto"/>
            <w:hideMark/>
          </w:tcPr>
          <w:p w14:paraId="4B9053B6" w14:textId="24A2D540" w:rsidR="0016623C" w:rsidRPr="009163F2" w:rsidRDefault="00394026"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13 429</w:t>
            </w:r>
          </w:p>
        </w:tc>
        <w:tc>
          <w:tcPr>
            <w:tcW w:w="1418" w:type="dxa"/>
            <w:shd w:val="clear" w:color="auto" w:fill="auto"/>
            <w:hideMark/>
          </w:tcPr>
          <w:p w14:paraId="7AE85916" w14:textId="3214C754" w:rsidR="0016623C" w:rsidRPr="009163F2" w:rsidRDefault="00394026"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3357</w:t>
            </w:r>
            <w:r w:rsidR="0016623C" w:rsidRPr="009163F2">
              <w:rPr>
                <w:rFonts w:ascii="Century Gothic" w:eastAsia="Times New Roman" w:hAnsi="Century Gothic" w:cs="Times New Roman"/>
                <w:sz w:val="20"/>
                <w:szCs w:val="20"/>
                <w:lang w:eastAsia="lv-LV"/>
              </w:rPr>
              <w:t>%</w:t>
            </w:r>
          </w:p>
        </w:tc>
      </w:tr>
      <w:tr w:rsidR="0016623C" w:rsidRPr="00524DD9" w14:paraId="176ECFE1" w14:textId="77777777" w:rsidTr="00DC0EE4">
        <w:trPr>
          <w:trHeight w:val="555"/>
        </w:trPr>
        <w:tc>
          <w:tcPr>
            <w:tcW w:w="3955" w:type="dxa"/>
            <w:shd w:val="clear" w:color="auto" w:fill="auto"/>
            <w:hideMark/>
          </w:tcPr>
          <w:p w14:paraId="4AF23DC7" w14:textId="4E4F7FD7" w:rsidR="0016623C" w:rsidRPr="00524DD9" w:rsidRDefault="0016623C" w:rsidP="0016623C">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Nr.3.                            </w:t>
            </w:r>
            <w:r w:rsidRPr="00524DD9">
              <w:rPr>
                <w:rFonts w:ascii="Century Gothic" w:eastAsia="Times New Roman" w:hAnsi="Century Gothic" w:cs="Times New Roman"/>
                <w:b/>
                <w:bCs/>
                <w:color w:val="000000"/>
                <w:sz w:val="20"/>
                <w:szCs w:val="20"/>
                <w:lang w:eastAsia="lv-LV"/>
              </w:rPr>
              <w:t xml:space="preserve">Pašu kapitāls (gada beigās),  </w:t>
            </w:r>
            <w:r w:rsidR="00264C02">
              <w:rPr>
                <w:rFonts w:ascii="Century Gothic" w:eastAsia="Times New Roman" w:hAnsi="Century Gothic" w:cs="Times New Roman"/>
                <w:b/>
                <w:bCs/>
                <w:color w:val="000000"/>
                <w:sz w:val="20"/>
                <w:szCs w:val="20"/>
                <w:lang w:eastAsia="lv-LV"/>
              </w:rPr>
              <w:t>milj.</w:t>
            </w:r>
            <w:r w:rsidRPr="00524DD9">
              <w:rPr>
                <w:rFonts w:ascii="Century Gothic" w:eastAsia="Times New Roman" w:hAnsi="Century Gothic" w:cs="Times New Roman"/>
                <w:b/>
                <w:bCs/>
                <w:color w:val="000000"/>
                <w:sz w:val="20"/>
                <w:szCs w:val="20"/>
                <w:lang w:eastAsia="lv-LV"/>
              </w:rPr>
              <w:t xml:space="preserve"> EUR</w:t>
            </w:r>
          </w:p>
        </w:tc>
        <w:tc>
          <w:tcPr>
            <w:tcW w:w="1249" w:type="dxa"/>
            <w:shd w:val="clear" w:color="auto" w:fill="auto"/>
            <w:hideMark/>
          </w:tcPr>
          <w:p w14:paraId="4A38D774" w14:textId="742F25EE" w:rsidR="0016623C" w:rsidRPr="009163F2" w:rsidRDefault="0016623C"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38</w:t>
            </w:r>
            <w:r w:rsidR="00394026" w:rsidRPr="009163F2">
              <w:rPr>
                <w:rFonts w:ascii="Century Gothic" w:eastAsia="Times New Roman" w:hAnsi="Century Gothic" w:cs="Times New Roman"/>
                <w:sz w:val="20"/>
                <w:szCs w:val="20"/>
                <w:lang w:eastAsia="lv-LV"/>
              </w:rPr>
              <w:t>2</w:t>
            </w:r>
          </w:p>
        </w:tc>
        <w:tc>
          <w:tcPr>
            <w:tcW w:w="1312" w:type="dxa"/>
            <w:shd w:val="clear" w:color="auto" w:fill="auto"/>
            <w:hideMark/>
          </w:tcPr>
          <w:p w14:paraId="01AE6705" w14:textId="74D14D7E" w:rsidR="0016623C" w:rsidRPr="009163F2" w:rsidRDefault="00264C02"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&gt;420</w:t>
            </w:r>
          </w:p>
        </w:tc>
        <w:tc>
          <w:tcPr>
            <w:tcW w:w="1276" w:type="dxa"/>
            <w:shd w:val="clear" w:color="auto" w:fill="auto"/>
            <w:hideMark/>
          </w:tcPr>
          <w:p w14:paraId="1AB2D12F" w14:textId="4229FF31" w:rsidR="0016623C" w:rsidRPr="009163F2" w:rsidRDefault="009163F2"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441</w:t>
            </w:r>
          </w:p>
        </w:tc>
        <w:tc>
          <w:tcPr>
            <w:tcW w:w="1275" w:type="dxa"/>
            <w:shd w:val="clear" w:color="auto" w:fill="auto"/>
            <w:hideMark/>
          </w:tcPr>
          <w:p w14:paraId="590FAB8D" w14:textId="3B077513" w:rsidR="0016623C" w:rsidRPr="009163F2" w:rsidRDefault="009163F2"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21</w:t>
            </w:r>
          </w:p>
        </w:tc>
        <w:tc>
          <w:tcPr>
            <w:tcW w:w="1418" w:type="dxa"/>
            <w:shd w:val="clear" w:color="auto" w:fill="auto"/>
            <w:hideMark/>
          </w:tcPr>
          <w:p w14:paraId="493528E6" w14:textId="7A1A7B31" w:rsidR="0016623C" w:rsidRPr="009163F2" w:rsidRDefault="009163F2"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5</w:t>
            </w:r>
            <w:r w:rsidR="0016623C" w:rsidRPr="009163F2">
              <w:rPr>
                <w:rFonts w:ascii="Century Gothic" w:eastAsia="Times New Roman" w:hAnsi="Century Gothic" w:cs="Times New Roman"/>
                <w:sz w:val="20"/>
                <w:szCs w:val="20"/>
                <w:lang w:eastAsia="lv-LV"/>
              </w:rPr>
              <w:t>%</w:t>
            </w:r>
          </w:p>
        </w:tc>
      </w:tr>
      <w:tr w:rsidR="0016623C" w:rsidRPr="00524DD9" w14:paraId="1DD7649C" w14:textId="77777777" w:rsidTr="00DC0EE4">
        <w:trPr>
          <w:trHeight w:val="525"/>
        </w:trPr>
        <w:tc>
          <w:tcPr>
            <w:tcW w:w="3955" w:type="dxa"/>
            <w:shd w:val="clear" w:color="auto" w:fill="auto"/>
            <w:hideMark/>
          </w:tcPr>
          <w:p w14:paraId="1129B9CA" w14:textId="77777777" w:rsidR="0016623C" w:rsidRPr="00524DD9" w:rsidRDefault="0016623C" w:rsidP="0016623C">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Nr.4.                          </w:t>
            </w:r>
            <w:r w:rsidRPr="00524DD9">
              <w:rPr>
                <w:rFonts w:ascii="Century Gothic" w:eastAsia="Times New Roman" w:hAnsi="Century Gothic" w:cs="Times New Roman"/>
                <w:b/>
                <w:bCs/>
                <w:color w:val="000000"/>
                <w:sz w:val="20"/>
                <w:szCs w:val="20"/>
                <w:lang w:eastAsia="lv-LV"/>
              </w:rPr>
              <w:t>Izdevumu/ieņēmumu attiecība, %</w:t>
            </w:r>
          </w:p>
        </w:tc>
        <w:tc>
          <w:tcPr>
            <w:tcW w:w="1249" w:type="dxa"/>
            <w:shd w:val="clear" w:color="auto" w:fill="auto"/>
            <w:hideMark/>
          </w:tcPr>
          <w:p w14:paraId="08C94610" w14:textId="301EEBF8" w:rsidR="0016623C" w:rsidRPr="009163F2" w:rsidRDefault="0016623C"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48%</w:t>
            </w:r>
          </w:p>
        </w:tc>
        <w:tc>
          <w:tcPr>
            <w:tcW w:w="1312" w:type="dxa"/>
            <w:shd w:val="clear" w:color="auto" w:fill="auto"/>
            <w:hideMark/>
          </w:tcPr>
          <w:p w14:paraId="2C9198D3" w14:textId="77777777"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&lt;=70%</w:t>
            </w:r>
          </w:p>
        </w:tc>
        <w:tc>
          <w:tcPr>
            <w:tcW w:w="1276" w:type="dxa"/>
            <w:shd w:val="clear" w:color="auto" w:fill="auto"/>
            <w:hideMark/>
          </w:tcPr>
          <w:p w14:paraId="68A0954A" w14:textId="15AAA252" w:rsidR="0016623C" w:rsidRPr="009163F2" w:rsidRDefault="009163F2"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39</w:t>
            </w:r>
            <w:r w:rsidR="0016623C" w:rsidRPr="009163F2">
              <w:rPr>
                <w:rFonts w:ascii="Century Gothic" w:eastAsia="Times New Roman" w:hAnsi="Century Gothic" w:cs="Times New Roman"/>
                <w:sz w:val="20"/>
                <w:szCs w:val="20"/>
                <w:lang w:eastAsia="lv-LV"/>
              </w:rPr>
              <w:t>%</w:t>
            </w:r>
          </w:p>
        </w:tc>
        <w:tc>
          <w:tcPr>
            <w:tcW w:w="1275" w:type="dxa"/>
            <w:shd w:val="clear" w:color="auto" w:fill="auto"/>
            <w:hideMark/>
          </w:tcPr>
          <w:p w14:paraId="738C3263" w14:textId="5D7E8706" w:rsidR="0016623C" w:rsidRPr="009163F2" w:rsidRDefault="009163F2"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31</w:t>
            </w:r>
            <w:r w:rsidR="0016623C" w:rsidRPr="009163F2">
              <w:rPr>
                <w:rFonts w:ascii="Century Gothic" w:eastAsia="Times New Roman" w:hAnsi="Century Gothic" w:cs="Times New Roman"/>
                <w:sz w:val="20"/>
                <w:szCs w:val="20"/>
                <w:lang w:eastAsia="lv-LV"/>
              </w:rPr>
              <w:t>%</w:t>
            </w:r>
          </w:p>
        </w:tc>
        <w:tc>
          <w:tcPr>
            <w:tcW w:w="1418" w:type="dxa"/>
            <w:shd w:val="clear" w:color="auto" w:fill="auto"/>
            <w:hideMark/>
          </w:tcPr>
          <w:p w14:paraId="6475FF7E" w14:textId="7D49764A" w:rsidR="0016623C" w:rsidRPr="009163F2" w:rsidRDefault="009163F2" w:rsidP="0016623C">
            <w:pPr>
              <w:spacing w:after="0" w:line="240" w:lineRule="auto"/>
              <w:jc w:val="right"/>
              <w:rPr>
                <w:rFonts w:ascii="Century Gothic" w:eastAsia="Times New Roman" w:hAnsi="Century Gothic" w:cs="Times New Roman"/>
                <w:sz w:val="20"/>
                <w:szCs w:val="20"/>
                <w:lang w:eastAsia="lv-LV"/>
              </w:rPr>
            </w:pPr>
            <w:r w:rsidRPr="009163F2">
              <w:rPr>
                <w:rFonts w:ascii="Century Gothic" w:eastAsia="Times New Roman" w:hAnsi="Century Gothic" w:cs="Times New Roman"/>
                <w:sz w:val="20"/>
                <w:szCs w:val="20"/>
                <w:lang w:eastAsia="lv-LV"/>
              </w:rPr>
              <w:t>44</w:t>
            </w:r>
            <w:r w:rsidR="0016623C" w:rsidRPr="009163F2">
              <w:rPr>
                <w:rFonts w:ascii="Century Gothic" w:eastAsia="Times New Roman" w:hAnsi="Century Gothic" w:cs="Times New Roman"/>
                <w:sz w:val="20"/>
                <w:szCs w:val="20"/>
                <w:lang w:eastAsia="lv-LV"/>
              </w:rPr>
              <w:t>%</w:t>
            </w:r>
          </w:p>
        </w:tc>
      </w:tr>
      <w:tr w:rsidR="0016623C" w:rsidRPr="00524DD9" w14:paraId="31D44481" w14:textId="77777777" w:rsidTr="00DC0EE4">
        <w:trPr>
          <w:trHeight w:val="512"/>
        </w:trPr>
        <w:tc>
          <w:tcPr>
            <w:tcW w:w="3955" w:type="dxa"/>
            <w:shd w:val="clear" w:color="auto" w:fill="auto"/>
            <w:hideMark/>
          </w:tcPr>
          <w:p w14:paraId="6B3B745C" w14:textId="77777777" w:rsidR="0016623C" w:rsidRPr="00524DD9" w:rsidRDefault="0016623C" w:rsidP="0016623C">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Nr.5.                                 </w:t>
            </w:r>
            <w:r w:rsidRPr="00524DD9">
              <w:rPr>
                <w:rFonts w:ascii="Century Gothic" w:eastAsia="Times New Roman" w:hAnsi="Century Gothic" w:cs="Times New Roman"/>
                <w:b/>
                <w:bCs/>
                <w:color w:val="000000"/>
                <w:sz w:val="20"/>
                <w:szCs w:val="20"/>
                <w:lang w:eastAsia="lv-LV"/>
              </w:rPr>
              <w:t>6 mēnešu likviditātes rādītājs, %</w:t>
            </w:r>
          </w:p>
        </w:tc>
        <w:tc>
          <w:tcPr>
            <w:tcW w:w="1249" w:type="dxa"/>
            <w:shd w:val="clear" w:color="auto" w:fill="auto"/>
            <w:hideMark/>
          </w:tcPr>
          <w:p w14:paraId="62EBD665" w14:textId="54D912F1"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464%</w:t>
            </w:r>
          </w:p>
        </w:tc>
        <w:tc>
          <w:tcPr>
            <w:tcW w:w="1312" w:type="dxa"/>
            <w:shd w:val="clear" w:color="auto" w:fill="auto"/>
            <w:hideMark/>
          </w:tcPr>
          <w:p w14:paraId="0C8CCCF7" w14:textId="77777777"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&gt;=50%</w:t>
            </w:r>
          </w:p>
        </w:tc>
        <w:tc>
          <w:tcPr>
            <w:tcW w:w="1276" w:type="dxa"/>
            <w:shd w:val="clear" w:color="auto" w:fill="auto"/>
            <w:hideMark/>
          </w:tcPr>
          <w:p w14:paraId="109FE544" w14:textId="04046E12" w:rsidR="0016623C" w:rsidRPr="009163F2" w:rsidRDefault="009163F2"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518</w:t>
            </w:r>
            <w:r w:rsidR="0016623C" w:rsidRPr="009163F2">
              <w:rPr>
                <w:rFonts w:ascii="Century Gothic" w:eastAsia="Times New Roman" w:hAnsi="Century Gothic" w:cs="Times New Roman"/>
                <w:color w:val="000000"/>
                <w:sz w:val="20"/>
                <w:szCs w:val="20"/>
                <w:lang w:eastAsia="lv-LV"/>
              </w:rPr>
              <w:t>%</w:t>
            </w:r>
          </w:p>
        </w:tc>
        <w:tc>
          <w:tcPr>
            <w:tcW w:w="1275" w:type="dxa"/>
            <w:shd w:val="clear" w:color="auto" w:fill="auto"/>
            <w:hideMark/>
          </w:tcPr>
          <w:p w14:paraId="612B2AC2" w14:textId="724E9505"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4</w:t>
            </w:r>
            <w:r w:rsidR="009163F2" w:rsidRPr="009163F2">
              <w:rPr>
                <w:rFonts w:ascii="Century Gothic" w:eastAsia="Times New Roman" w:hAnsi="Century Gothic" w:cs="Times New Roman"/>
                <w:color w:val="000000"/>
                <w:sz w:val="20"/>
                <w:szCs w:val="20"/>
                <w:lang w:eastAsia="lv-LV"/>
              </w:rPr>
              <w:t>68</w:t>
            </w:r>
            <w:r w:rsidRPr="009163F2">
              <w:rPr>
                <w:rFonts w:ascii="Century Gothic" w:eastAsia="Times New Roman" w:hAnsi="Century Gothic" w:cs="Times New Roman"/>
                <w:color w:val="000000"/>
                <w:sz w:val="20"/>
                <w:szCs w:val="20"/>
                <w:lang w:eastAsia="lv-LV"/>
              </w:rPr>
              <w:t>%</w:t>
            </w:r>
          </w:p>
        </w:tc>
        <w:tc>
          <w:tcPr>
            <w:tcW w:w="1418" w:type="dxa"/>
            <w:shd w:val="clear" w:color="auto" w:fill="auto"/>
            <w:hideMark/>
          </w:tcPr>
          <w:p w14:paraId="50143223" w14:textId="62DB4860" w:rsidR="0016623C" w:rsidRPr="009163F2" w:rsidRDefault="009163F2"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936</w:t>
            </w:r>
            <w:r w:rsidR="0016623C" w:rsidRPr="009163F2">
              <w:rPr>
                <w:rFonts w:ascii="Century Gothic" w:eastAsia="Times New Roman" w:hAnsi="Century Gothic" w:cs="Times New Roman"/>
                <w:color w:val="000000"/>
                <w:sz w:val="20"/>
                <w:szCs w:val="20"/>
                <w:lang w:eastAsia="lv-LV"/>
              </w:rPr>
              <w:t>%</w:t>
            </w:r>
          </w:p>
        </w:tc>
      </w:tr>
      <w:tr w:rsidR="0016623C" w:rsidRPr="00524DD9" w14:paraId="03C16EF3" w14:textId="77777777" w:rsidTr="00DC0EE4">
        <w:trPr>
          <w:trHeight w:val="1035"/>
        </w:trPr>
        <w:tc>
          <w:tcPr>
            <w:tcW w:w="3955" w:type="dxa"/>
            <w:shd w:val="clear" w:color="auto" w:fill="auto"/>
            <w:hideMark/>
          </w:tcPr>
          <w:p w14:paraId="3754CFE5" w14:textId="77777777" w:rsidR="0016623C" w:rsidRPr="00524DD9" w:rsidRDefault="0016623C" w:rsidP="0016623C">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Nr.6.                        </w:t>
            </w:r>
            <w:r w:rsidRPr="00524DD9">
              <w:rPr>
                <w:rFonts w:ascii="Century Gothic" w:eastAsia="Times New Roman" w:hAnsi="Century Gothic" w:cs="Times New Roman"/>
                <w:b/>
                <w:bCs/>
                <w:color w:val="000000"/>
                <w:sz w:val="20"/>
                <w:szCs w:val="20"/>
                <w:lang w:eastAsia="lv-LV"/>
              </w:rPr>
              <w:t>Kapitāls bez pārvērtēšanas rezerves (KBPR)/Kopējie pārvaldītie aktīvi (KPA), %</w:t>
            </w:r>
          </w:p>
        </w:tc>
        <w:tc>
          <w:tcPr>
            <w:tcW w:w="1249" w:type="dxa"/>
            <w:shd w:val="clear" w:color="auto" w:fill="auto"/>
            <w:hideMark/>
          </w:tcPr>
          <w:p w14:paraId="4BB86586" w14:textId="1081FCE8"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34%</w:t>
            </w:r>
          </w:p>
        </w:tc>
        <w:tc>
          <w:tcPr>
            <w:tcW w:w="1312" w:type="dxa"/>
            <w:shd w:val="clear" w:color="auto" w:fill="auto"/>
            <w:hideMark/>
          </w:tcPr>
          <w:p w14:paraId="7C1B9DA4" w14:textId="77777777"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&gt;=20%</w:t>
            </w:r>
          </w:p>
        </w:tc>
        <w:tc>
          <w:tcPr>
            <w:tcW w:w="1276" w:type="dxa"/>
            <w:shd w:val="clear" w:color="auto" w:fill="auto"/>
            <w:hideMark/>
          </w:tcPr>
          <w:p w14:paraId="4A7BA639" w14:textId="04D68988"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34%</w:t>
            </w:r>
          </w:p>
        </w:tc>
        <w:tc>
          <w:tcPr>
            <w:tcW w:w="1275" w:type="dxa"/>
            <w:shd w:val="clear" w:color="auto" w:fill="auto"/>
            <w:hideMark/>
          </w:tcPr>
          <w:p w14:paraId="04A4A61D" w14:textId="301B7BA9"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14%</w:t>
            </w:r>
          </w:p>
        </w:tc>
        <w:tc>
          <w:tcPr>
            <w:tcW w:w="1418" w:type="dxa"/>
            <w:shd w:val="clear" w:color="auto" w:fill="auto"/>
            <w:hideMark/>
          </w:tcPr>
          <w:p w14:paraId="3B854C00" w14:textId="5B9C665B" w:rsidR="0016623C" w:rsidRPr="009163F2" w:rsidRDefault="0016623C" w:rsidP="0016623C">
            <w:pPr>
              <w:spacing w:after="0" w:line="240" w:lineRule="auto"/>
              <w:jc w:val="right"/>
              <w:rPr>
                <w:rFonts w:ascii="Century Gothic" w:eastAsia="Times New Roman" w:hAnsi="Century Gothic" w:cs="Times New Roman"/>
                <w:color w:val="000000"/>
                <w:sz w:val="20"/>
                <w:szCs w:val="20"/>
                <w:lang w:eastAsia="lv-LV"/>
              </w:rPr>
            </w:pPr>
            <w:r w:rsidRPr="009163F2">
              <w:rPr>
                <w:rFonts w:ascii="Century Gothic" w:eastAsia="Times New Roman" w:hAnsi="Century Gothic" w:cs="Times New Roman"/>
                <w:color w:val="000000"/>
                <w:sz w:val="20"/>
                <w:szCs w:val="20"/>
                <w:lang w:eastAsia="lv-LV"/>
              </w:rPr>
              <w:t>70%</w:t>
            </w:r>
          </w:p>
        </w:tc>
      </w:tr>
    </w:tbl>
    <w:p w14:paraId="4EFFAFC4" w14:textId="77777777" w:rsidR="00A97BBA" w:rsidRPr="00A97BBA" w:rsidRDefault="00A97BBA" w:rsidP="00A97BBA">
      <w:pPr>
        <w:numPr>
          <w:ilvl w:val="0"/>
          <w:numId w:val="1"/>
        </w:numPr>
        <w:spacing w:before="120" w:after="0" w:line="276" w:lineRule="auto"/>
        <w:ind w:left="357" w:hanging="357"/>
        <w:jc w:val="both"/>
        <w:rPr>
          <w:rFonts w:ascii="Century Gothic" w:hAnsi="Century Gothic" w:cs="Times New Roman"/>
          <w:sz w:val="24"/>
          <w:szCs w:val="24"/>
          <w:lang w:eastAsia="lv-LV"/>
        </w:rPr>
      </w:pPr>
      <w:r w:rsidRPr="00A97BBA">
        <w:rPr>
          <w:rFonts w:ascii="Century Gothic" w:hAnsi="Century Gothic" w:cs="Times New Roman"/>
          <w:sz w:val="24"/>
          <w:szCs w:val="24"/>
          <w:u w:val="single"/>
          <w:lang w:eastAsia="lv-LV"/>
        </w:rPr>
        <w:t xml:space="preserve">Finanšu mērķa rādītājs Nr. 1. Kapitāla </w:t>
      </w:r>
      <w:proofErr w:type="spellStart"/>
      <w:r w:rsidRPr="00A97BBA">
        <w:rPr>
          <w:rFonts w:ascii="Century Gothic" w:hAnsi="Century Gothic" w:cs="Times New Roman"/>
          <w:sz w:val="24"/>
          <w:szCs w:val="24"/>
          <w:u w:val="single"/>
          <w:lang w:eastAsia="lv-LV"/>
        </w:rPr>
        <w:t>atdeve</w:t>
      </w:r>
      <w:proofErr w:type="spellEnd"/>
      <w:r w:rsidRPr="00A97BBA">
        <w:rPr>
          <w:rFonts w:ascii="Century Gothic" w:hAnsi="Century Gothic" w:cs="Times New Roman"/>
          <w:sz w:val="24"/>
          <w:szCs w:val="24"/>
          <w:u w:val="single"/>
          <w:lang w:eastAsia="lv-LV"/>
        </w:rPr>
        <w:t xml:space="preserve"> ROE, %. </w:t>
      </w:r>
    </w:p>
    <w:p w14:paraId="4206DD93" w14:textId="77777777" w:rsidR="00A97BBA" w:rsidRPr="00A97BBA" w:rsidRDefault="00A97BBA" w:rsidP="00A97BBA">
      <w:pPr>
        <w:spacing w:after="0" w:line="276" w:lineRule="auto"/>
        <w:ind w:left="357"/>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t xml:space="preserve">Sasniegtais rādītājs 3.4% ir būtiski – par 3.3% augstāks par stratēģijā plānoto &gt;=0.1%. Rādītāja būtisku pārpildi ietekmēja lielāks par plānoto pārskata gada peļņas apjoms. </w:t>
      </w:r>
    </w:p>
    <w:p w14:paraId="1C6F3568" w14:textId="77777777" w:rsidR="00A97BBA" w:rsidRPr="00A97BBA" w:rsidRDefault="00A97BBA" w:rsidP="00A97BBA">
      <w:pPr>
        <w:numPr>
          <w:ilvl w:val="0"/>
          <w:numId w:val="1"/>
        </w:numPr>
        <w:spacing w:before="120" w:after="0" w:line="276" w:lineRule="auto"/>
        <w:ind w:left="357" w:hanging="357"/>
        <w:jc w:val="both"/>
        <w:rPr>
          <w:rFonts w:ascii="Century Gothic" w:hAnsi="Century Gothic" w:cs="Times New Roman"/>
          <w:sz w:val="24"/>
          <w:szCs w:val="24"/>
          <w:lang w:eastAsia="lv-LV"/>
        </w:rPr>
      </w:pPr>
      <w:r w:rsidRPr="00A97BBA">
        <w:rPr>
          <w:rFonts w:ascii="Century Gothic" w:hAnsi="Century Gothic" w:cs="Times New Roman"/>
          <w:sz w:val="24"/>
          <w:szCs w:val="24"/>
          <w:u w:val="single"/>
          <w:lang w:eastAsia="lv-LV"/>
        </w:rPr>
        <w:t xml:space="preserve">Rādītājs Nr. 2. Peļņa vai zaudējumi, tūkst. EUR. </w:t>
      </w:r>
    </w:p>
    <w:p w14:paraId="7160AAEC" w14:textId="77777777" w:rsidR="00A97BBA" w:rsidRPr="00A97BBA" w:rsidRDefault="00A97BBA" w:rsidP="00A97BBA">
      <w:pPr>
        <w:spacing w:after="0" w:line="276" w:lineRule="auto"/>
        <w:ind w:left="357"/>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t xml:space="preserve">ALTUM 2021. gada peļņa 13 829 tūkst. EUR ir būtiski, par 13 429 tūkst. EUR lielāka par stratēģijā plānoto 400 tūkst. EUR. </w:t>
      </w:r>
    </w:p>
    <w:p w14:paraId="248A1F44" w14:textId="77777777" w:rsidR="00A97BBA" w:rsidRPr="00A97BBA" w:rsidRDefault="00A97BBA" w:rsidP="00A97BBA">
      <w:pPr>
        <w:spacing w:after="0" w:line="276" w:lineRule="auto"/>
        <w:ind w:left="357"/>
        <w:contextualSpacing/>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t xml:space="preserve">Peļņas pārsniegumu pret plānoto pamatā ietekmēja: </w:t>
      </w:r>
    </w:p>
    <w:p w14:paraId="47815D3E" w14:textId="62E977E0" w:rsidR="00A97BBA" w:rsidRPr="00A97BBA" w:rsidRDefault="00A97BBA" w:rsidP="00A97BBA">
      <w:pPr>
        <w:spacing w:after="0" w:line="276" w:lineRule="auto"/>
        <w:ind w:left="357"/>
        <w:contextualSpacing/>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t xml:space="preserve">1. </w:t>
      </w:r>
      <w:r w:rsidR="008B3DD0" w:rsidRPr="008B3DD0">
        <w:rPr>
          <w:rFonts w:ascii="Century Gothic" w:hAnsi="Century Gothic" w:cs="Times New Roman"/>
          <w:sz w:val="24"/>
          <w:szCs w:val="24"/>
          <w:lang w:eastAsia="lv-LV"/>
        </w:rPr>
        <w:t xml:space="preserve">tika plānoti izdevumi uzkrājumu veidošanai 7,8 milj. EUR. Pateicoties labākai kopējai ekonomiskai situācijai faktiskie izdevumi uzkrājumu veidošanai bija 0,162 milj. EUR, kā arī ieņēmumi no zaudēto kredītriska aktīvu atgūšanas pārsniedza plānoto par 0,27 milj. EUR.  Nepieciešamos uzkrājumus </w:t>
      </w:r>
      <w:proofErr w:type="spellStart"/>
      <w:r w:rsidR="008B3DD0" w:rsidRPr="008B3DD0">
        <w:rPr>
          <w:rFonts w:ascii="Century Gothic" w:hAnsi="Century Gothic" w:cs="Times New Roman"/>
          <w:sz w:val="24"/>
          <w:szCs w:val="24"/>
          <w:lang w:eastAsia="lv-LV"/>
        </w:rPr>
        <w:t>smazināja</w:t>
      </w:r>
      <w:proofErr w:type="spellEnd"/>
      <w:r w:rsidR="008B3DD0" w:rsidRPr="008B3DD0">
        <w:rPr>
          <w:rFonts w:ascii="Century Gothic" w:hAnsi="Century Gothic" w:cs="Times New Roman"/>
          <w:sz w:val="24"/>
          <w:szCs w:val="24"/>
          <w:lang w:eastAsia="lv-LV"/>
        </w:rPr>
        <w:t xml:space="preserve"> arī  2. un 3. riska kategorijas aizdevumu un garantiju ievērojamas atmaksas (t.sk. pirmstermiņa).</w:t>
      </w:r>
      <w:r w:rsidR="008B3DD0">
        <w:rPr>
          <w:rFonts w:ascii="Century Gothic" w:hAnsi="Century Gothic" w:cs="Times New Roman"/>
          <w:sz w:val="24"/>
          <w:szCs w:val="24"/>
          <w:lang w:eastAsia="lv-LV"/>
        </w:rPr>
        <w:t xml:space="preserve"> </w:t>
      </w:r>
    </w:p>
    <w:p w14:paraId="48E2FFB8" w14:textId="61A79BFC" w:rsidR="00A97BBA" w:rsidRPr="00A97BBA" w:rsidRDefault="00A97BBA" w:rsidP="00A97BBA">
      <w:pPr>
        <w:spacing w:after="0" w:line="276" w:lineRule="auto"/>
        <w:ind w:left="357"/>
        <w:contextualSpacing/>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t xml:space="preserve">2. </w:t>
      </w:r>
      <w:r w:rsidR="00452ECD" w:rsidRPr="00452ECD">
        <w:rPr>
          <w:rFonts w:ascii="Century Gothic" w:hAnsi="Century Gothic" w:cs="Times New Roman"/>
          <w:sz w:val="24"/>
          <w:szCs w:val="24"/>
          <w:lang w:eastAsia="lv-LV"/>
        </w:rPr>
        <w:t>Ieņēmumi no portfeļiem pārsniedza plānoto (aizdevumu komisijas un garantiju prēmijas), izdevumi resursu piesaistei mazāki par plānoto, AIF “</w:t>
      </w:r>
      <w:proofErr w:type="spellStart"/>
      <w:r w:rsidR="00452ECD" w:rsidRPr="00452ECD">
        <w:rPr>
          <w:rFonts w:ascii="Century Gothic" w:hAnsi="Century Gothic" w:cs="Times New Roman"/>
          <w:sz w:val="24"/>
          <w:szCs w:val="24"/>
          <w:lang w:eastAsia="lv-LV"/>
        </w:rPr>
        <w:t>Altum</w:t>
      </w:r>
      <w:proofErr w:type="spellEnd"/>
      <w:r w:rsidR="00452ECD" w:rsidRPr="00452ECD">
        <w:rPr>
          <w:rFonts w:ascii="Century Gothic" w:hAnsi="Century Gothic" w:cs="Times New Roman"/>
          <w:sz w:val="24"/>
          <w:szCs w:val="24"/>
          <w:lang w:eastAsia="lv-LV"/>
        </w:rPr>
        <w:t xml:space="preserve"> kapitāla fonds” un Trīs jūru iniciatīvas investīciju fonda apkalpošana (ieņēmumi no ieguldījumiem, pārvērtēšana, izdevumu kompensācija) +1,5 milj. EUR (par šādu summu mazāki izdevumi par plānoto), arī ieņēmumi no Baltijas Inovāciju fonda ieguldījumu atmaksām +2,8 milj. EUR, kas kopā deva Parastās darbības ieņēmumu palielinājumu par 5,48 milj. EUR</w:t>
      </w:r>
      <w:r w:rsidR="00452ECD">
        <w:rPr>
          <w:rFonts w:ascii="Century Gothic" w:hAnsi="Century Gothic" w:cs="Times New Roman"/>
          <w:sz w:val="24"/>
          <w:szCs w:val="24"/>
          <w:lang w:eastAsia="lv-LV"/>
        </w:rPr>
        <w:t>.</w:t>
      </w:r>
      <w:r w:rsidRPr="00A97BBA">
        <w:rPr>
          <w:rFonts w:ascii="Century Gothic" w:hAnsi="Century Gothic" w:cs="Times New Roman"/>
          <w:sz w:val="24"/>
          <w:szCs w:val="24"/>
          <w:lang w:eastAsia="lv-LV"/>
        </w:rPr>
        <w:t xml:space="preserve"> </w:t>
      </w:r>
    </w:p>
    <w:p w14:paraId="47791AC6" w14:textId="77777777" w:rsidR="00A97BBA" w:rsidRPr="00A97BBA" w:rsidRDefault="00A97BBA" w:rsidP="00A97BBA">
      <w:pPr>
        <w:spacing w:after="0" w:line="276" w:lineRule="auto"/>
        <w:ind w:left="357"/>
        <w:contextualSpacing/>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lastRenderedPageBreak/>
        <w:t xml:space="preserve">3. Personāla, administratīvo un amortizācijas izmaksu ekonomija veido 0,189 milj. EUR. </w:t>
      </w:r>
    </w:p>
    <w:p w14:paraId="0C04EB1C" w14:textId="77777777" w:rsidR="00A97BBA" w:rsidRPr="00A97BBA" w:rsidRDefault="00A97BBA" w:rsidP="00A97BBA">
      <w:pPr>
        <w:numPr>
          <w:ilvl w:val="0"/>
          <w:numId w:val="1"/>
        </w:numPr>
        <w:spacing w:before="120" w:after="0" w:line="276" w:lineRule="auto"/>
        <w:ind w:left="357" w:hanging="357"/>
        <w:jc w:val="both"/>
        <w:rPr>
          <w:rFonts w:ascii="Century Gothic" w:hAnsi="Century Gothic" w:cs="Times New Roman"/>
          <w:sz w:val="24"/>
          <w:szCs w:val="24"/>
          <w:lang w:eastAsia="lv-LV"/>
        </w:rPr>
      </w:pPr>
      <w:r w:rsidRPr="00A97BBA">
        <w:rPr>
          <w:rFonts w:ascii="Century Gothic" w:hAnsi="Century Gothic" w:cs="Times New Roman"/>
          <w:sz w:val="24"/>
          <w:szCs w:val="24"/>
          <w:u w:val="single"/>
          <w:lang w:eastAsia="lv-LV"/>
        </w:rPr>
        <w:t xml:space="preserve">Rādītājs Nr. 3. Pašu kapitāls (gada beigās), tūkst. EUR. </w:t>
      </w:r>
    </w:p>
    <w:p w14:paraId="33BC4818" w14:textId="77777777" w:rsidR="00A97BBA" w:rsidRPr="00A97BBA" w:rsidRDefault="00A97BBA" w:rsidP="00A97BBA">
      <w:pPr>
        <w:spacing w:after="0" w:line="276" w:lineRule="auto"/>
        <w:ind w:left="357"/>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t xml:space="preserve">Pateicoties lielākai 2021. gada peļņai un būtiskam rezerves kapitāla palielinājumam atbalsta programmu īstenošanai un to sagaidāmo risku segšanai 45 489 tūkst. EUR apmērā, 2021. gadā pašu kapitāls ir audzis līdz 440 736 tūkst. EUR, kas par 20 736 tūkst. EUR jeb 5% pārsniedz mērķa rādītāju. </w:t>
      </w:r>
    </w:p>
    <w:p w14:paraId="5926A007" w14:textId="77777777" w:rsidR="00A97BBA" w:rsidRPr="00A97BBA" w:rsidRDefault="00A97BBA" w:rsidP="00A97BBA">
      <w:pPr>
        <w:numPr>
          <w:ilvl w:val="0"/>
          <w:numId w:val="1"/>
        </w:numPr>
        <w:spacing w:before="120" w:after="0" w:line="276" w:lineRule="auto"/>
        <w:ind w:left="357" w:hanging="357"/>
        <w:jc w:val="both"/>
        <w:rPr>
          <w:rFonts w:ascii="Century Gothic" w:hAnsi="Century Gothic" w:cs="Times New Roman"/>
          <w:sz w:val="24"/>
          <w:szCs w:val="24"/>
          <w:lang w:eastAsia="lv-LV"/>
        </w:rPr>
      </w:pPr>
      <w:r w:rsidRPr="00A97BBA">
        <w:rPr>
          <w:rFonts w:ascii="Century Gothic" w:hAnsi="Century Gothic" w:cs="Times New Roman"/>
          <w:sz w:val="24"/>
          <w:szCs w:val="24"/>
          <w:u w:val="single"/>
          <w:lang w:eastAsia="lv-LV"/>
        </w:rPr>
        <w:t xml:space="preserve">Rādītājs Nr. 4. Izdevumu un ieņēmumu attiecība, %. </w:t>
      </w:r>
    </w:p>
    <w:p w14:paraId="39D6082E" w14:textId="21DE3DCE" w:rsidR="00A97BBA" w:rsidRPr="00A97BBA" w:rsidRDefault="00C41B0F" w:rsidP="00A97BBA">
      <w:pPr>
        <w:spacing w:after="0" w:line="276" w:lineRule="auto"/>
        <w:ind w:left="357"/>
        <w:jc w:val="both"/>
        <w:rPr>
          <w:rFonts w:ascii="Century Gothic" w:hAnsi="Century Gothic" w:cs="Times New Roman"/>
          <w:sz w:val="24"/>
          <w:szCs w:val="24"/>
          <w:lang w:eastAsia="lv-LV"/>
        </w:rPr>
      </w:pPr>
      <w:r>
        <w:rPr>
          <w:rFonts w:ascii="Century Gothic" w:hAnsi="Century Gothic" w:cs="Times New Roman"/>
          <w:sz w:val="24"/>
          <w:szCs w:val="24"/>
          <w:lang w:eastAsia="lv-LV"/>
        </w:rPr>
        <w:t>Pārsniegts</w:t>
      </w:r>
      <w:r w:rsidR="00A97BBA" w:rsidRPr="00A97BBA">
        <w:rPr>
          <w:rFonts w:ascii="Century Gothic" w:hAnsi="Century Gothic" w:cs="Times New Roman"/>
          <w:sz w:val="24"/>
          <w:szCs w:val="24"/>
          <w:lang w:eastAsia="lv-LV"/>
        </w:rPr>
        <w:t xml:space="preserve"> stratēģijā noteiktais pamatdarbības efektivitātes rādītājs Izdevumu un ieņēmumu attiecība &lt;=70%. Rādītājs pārskata periodā ir 39%. Izpildi nodrošināja būtisks darbības apjomu pieaugums pārskata gadā, īstenojot iepriekš uzsāktās un ieviešot jaunas valsts atbalsta programmas. Salīdzinot ar plānoto, parastās darbības ienākumi bija lielāki par 33%, bet parastās darbības izdevumi mazāki par 2%. </w:t>
      </w:r>
    </w:p>
    <w:p w14:paraId="6304AC2B" w14:textId="77777777" w:rsidR="00A97BBA" w:rsidRPr="00A97BBA" w:rsidRDefault="00A97BBA" w:rsidP="00A97BBA">
      <w:pPr>
        <w:numPr>
          <w:ilvl w:val="0"/>
          <w:numId w:val="1"/>
        </w:numPr>
        <w:spacing w:before="120" w:after="0" w:line="276" w:lineRule="auto"/>
        <w:ind w:left="357" w:hanging="357"/>
        <w:jc w:val="both"/>
        <w:rPr>
          <w:rFonts w:ascii="Century Gothic" w:hAnsi="Century Gothic" w:cs="Times New Roman"/>
          <w:sz w:val="24"/>
          <w:szCs w:val="24"/>
          <w:lang w:eastAsia="lv-LV"/>
        </w:rPr>
      </w:pPr>
      <w:r w:rsidRPr="00A97BBA">
        <w:rPr>
          <w:rFonts w:ascii="Century Gothic" w:hAnsi="Century Gothic" w:cs="Times New Roman"/>
          <w:sz w:val="24"/>
          <w:szCs w:val="24"/>
          <w:u w:val="single"/>
          <w:lang w:eastAsia="lv-LV"/>
        </w:rPr>
        <w:t xml:space="preserve">Rādītājs Nr. 5. 6 mēnešu likviditātes rādītājs, %. </w:t>
      </w:r>
    </w:p>
    <w:p w14:paraId="454DD732" w14:textId="77777777" w:rsidR="00A97BBA" w:rsidRPr="00A97BBA" w:rsidRDefault="00A97BBA" w:rsidP="00A97BBA">
      <w:pPr>
        <w:spacing w:after="0" w:line="276" w:lineRule="auto"/>
        <w:ind w:left="357"/>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t xml:space="preserve">ALTUM ir augsts likviditātes rādītājs 518%, kas būtiski pārsniedz stratēģijā noteikto minimālo rādītāju un sabiedrības Risku vadības stratēģijā noteikto minimālo likviditātes rādītāja limitu 50%. Rādītāju pozitīvi ietekmēja valsts atbalsta programmu īstenošanai saņemtie ERAF līdzekļu avansa maksājumi un speciālajā rezerves kapitālā ieskaitītie līdzekļi. Augstāks likviditātes rādītājs sekmē ALTUM vidēja termiņa stratēģijā noteikto sabiedrības mērķu sasniegšanu. </w:t>
      </w:r>
    </w:p>
    <w:p w14:paraId="56457061" w14:textId="77777777" w:rsidR="00A97BBA" w:rsidRPr="00A97BBA" w:rsidRDefault="00A97BBA" w:rsidP="00A97BBA">
      <w:pPr>
        <w:numPr>
          <w:ilvl w:val="0"/>
          <w:numId w:val="1"/>
        </w:numPr>
        <w:spacing w:before="120" w:after="0" w:line="276" w:lineRule="auto"/>
        <w:ind w:left="357" w:hanging="357"/>
        <w:jc w:val="both"/>
        <w:rPr>
          <w:rFonts w:ascii="Century Gothic" w:hAnsi="Century Gothic" w:cs="Times New Roman"/>
          <w:sz w:val="24"/>
          <w:szCs w:val="24"/>
          <w:lang w:eastAsia="lv-LV"/>
        </w:rPr>
      </w:pPr>
      <w:r w:rsidRPr="00A97BBA">
        <w:rPr>
          <w:rFonts w:ascii="Century Gothic" w:hAnsi="Century Gothic" w:cs="Times New Roman"/>
          <w:sz w:val="24"/>
          <w:szCs w:val="24"/>
          <w:u w:val="single"/>
          <w:lang w:eastAsia="lv-LV"/>
        </w:rPr>
        <w:t xml:space="preserve">Rādītājs Nr. 6. Kapitāls bez pārvērtēšanas rezerves (KBPR)/Kopējie pārvaldītie aktīvi (KPA), %. </w:t>
      </w:r>
    </w:p>
    <w:p w14:paraId="40F52390" w14:textId="77777777" w:rsidR="00A97BBA" w:rsidRPr="00A97BBA" w:rsidRDefault="00A97BBA" w:rsidP="00A97BBA">
      <w:pPr>
        <w:spacing w:after="0" w:line="276" w:lineRule="auto"/>
        <w:ind w:left="357"/>
        <w:jc w:val="both"/>
        <w:rPr>
          <w:rFonts w:ascii="Century Gothic" w:hAnsi="Century Gothic" w:cs="Times New Roman"/>
          <w:sz w:val="24"/>
          <w:szCs w:val="24"/>
          <w:lang w:eastAsia="lv-LV"/>
        </w:rPr>
      </w:pPr>
      <w:r w:rsidRPr="00A97BBA">
        <w:rPr>
          <w:rFonts w:ascii="Century Gothic" w:hAnsi="Century Gothic" w:cs="Times New Roman"/>
          <w:sz w:val="24"/>
          <w:szCs w:val="24"/>
          <w:lang w:eastAsia="lv-LV"/>
        </w:rPr>
        <w:t xml:space="preserve">Rādītājs pārskata perioda beigās 34% ir augstāks par stratēģijā noteikto minimumu 20%. Tas parāda, ka sabiedrībai ir pietiekams kapitāls attiecībā pret kopējiem aktīviem, pieskaitot ārpusbilancē uzskaitīto garantiju portfeli. Rādītāja izpildi pozitīvi ietekmēja lielākas par plānoto peļņas un rezerves kapitāla palielinājuma rezultātā straujāk pieaugušais pašu kapitāls. </w:t>
      </w:r>
    </w:p>
    <w:p w14:paraId="17621B7D" w14:textId="77777777" w:rsidR="00A97BBA" w:rsidRPr="00A97BBA" w:rsidRDefault="00A97BBA" w:rsidP="00A97BBA">
      <w:pPr>
        <w:spacing w:after="0" w:line="276" w:lineRule="auto"/>
        <w:ind w:left="357"/>
        <w:jc w:val="both"/>
        <w:rPr>
          <w:rFonts w:ascii="Times New Roman" w:hAnsi="Times New Roman" w:cs="Times New Roman"/>
          <w:sz w:val="24"/>
          <w:szCs w:val="24"/>
          <w:lang w:eastAsia="lv-LV"/>
        </w:rPr>
      </w:pPr>
    </w:p>
    <w:p w14:paraId="4C83A8D0" w14:textId="77777777" w:rsidR="00B54447" w:rsidRDefault="00B54447">
      <w:pPr>
        <w:rPr>
          <w:rFonts w:ascii="Century Gothic" w:hAnsi="Century Gothic" w:cs="Times New Roman"/>
          <w:sz w:val="24"/>
          <w:szCs w:val="24"/>
          <w:lang w:eastAsia="lv-LV"/>
        </w:rPr>
      </w:pPr>
      <w:r>
        <w:rPr>
          <w:rFonts w:ascii="Century Gothic" w:hAnsi="Century Gothic"/>
          <w:sz w:val="24"/>
          <w:szCs w:val="24"/>
        </w:rPr>
        <w:br w:type="page"/>
      </w:r>
    </w:p>
    <w:p w14:paraId="45757B9A" w14:textId="22C38113" w:rsidR="00E354F3" w:rsidRPr="0016623C" w:rsidRDefault="00E354F3" w:rsidP="00083D93">
      <w:pPr>
        <w:spacing w:before="240"/>
        <w:rPr>
          <w:rFonts w:ascii="Century Gothic" w:eastAsia="Calibri" w:hAnsi="Century Gothic" w:cs="Times New Roman"/>
          <w:b/>
          <w:sz w:val="24"/>
          <w:szCs w:val="24"/>
        </w:rPr>
      </w:pPr>
      <w:bookmarkStart w:id="1" w:name="_Hlk40087689"/>
      <w:r w:rsidRPr="00524DD9">
        <w:rPr>
          <w:rFonts w:ascii="Century Gothic" w:eastAsia="Calibri" w:hAnsi="Century Gothic" w:cs="Times New Roman"/>
          <w:b/>
          <w:sz w:val="24"/>
          <w:szCs w:val="24"/>
        </w:rPr>
        <w:lastRenderedPageBreak/>
        <w:t>2</w:t>
      </w:r>
      <w:r w:rsidRPr="0016623C">
        <w:rPr>
          <w:rFonts w:ascii="Century Gothic" w:eastAsia="Calibri" w:hAnsi="Century Gothic" w:cs="Times New Roman"/>
          <w:b/>
          <w:sz w:val="24"/>
          <w:szCs w:val="24"/>
        </w:rPr>
        <w:t xml:space="preserve">. </w:t>
      </w:r>
      <w:proofErr w:type="spellStart"/>
      <w:r w:rsidRPr="0016623C">
        <w:rPr>
          <w:rFonts w:ascii="Century Gothic" w:eastAsia="Calibri" w:hAnsi="Century Gothic" w:cs="Times New Roman"/>
          <w:b/>
          <w:sz w:val="24"/>
          <w:szCs w:val="24"/>
        </w:rPr>
        <w:t>Nefinanšu</w:t>
      </w:r>
      <w:proofErr w:type="spellEnd"/>
      <w:r w:rsidRPr="0016623C">
        <w:rPr>
          <w:rFonts w:ascii="Century Gothic" w:eastAsia="Calibri" w:hAnsi="Century Gothic" w:cs="Times New Roman"/>
          <w:b/>
          <w:sz w:val="24"/>
          <w:szCs w:val="24"/>
        </w:rPr>
        <w:t xml:space="preserve"> mērķ</w:t>
      </w:r>
      <w:r w:rsidR="00D47019" w:rsidRPr="0016623C">
        <w:rPr>
          <w:rFonts w:ascii="Century Gothic" w:eastAsia="Calibri" w:hAnsi="Century Gothic" w:cs="Times New Roman"/>
          <w:b/>
          <w:sz w:val="24"/>
          <w:szCs w:val="24"/>
        </w:rPr>
        <w:t>i</w:t>
      </w:r>
      <w:r w:rsidR="00083D93" w:rsidRPr="0016623C">
        <w:rPr>
          <w:rFonts w:ascii="Century Gothic" w:eastAsia="Calibri" w:hAnsi="Century Gothic" w:cs="Times New Roman"/>
          <w:b/>
          <w:sz w:val="24"/>
          <w:szCs w:val="24"/>
        </w:rPr>
        <w:t xml:space="preserve"> </w:t>
      </w:r>
    </w:p>
    <w:bookmarkEnd w:id="1"/>
    <w:p w14:paraId="471397B0" w14:textId="70E01A99" w:rsidR="00DA71A8" w:rsidRDefault="00F134FF" w:rsidP="00127A4E">
      <w:pPr>
        <w:spacing w:before="120" w:after="120" w:line="276" w:lineRule="auto"/>
        <w:jc w:val="both"/>
        <w:rPr>
          <w:rFonts w:ascii="Century Gothic" w:eastAsia="Calibri" w:hAnsi="Century Gothic" w:cs="Times New Roman"/>
          <w:sz w:val="24"/>
          <w:szCs w:val="24"/>
        </w:rPr>
      </w:pPr>
      <w:r w:rsidRPr="0016623C">
        <w:rPr>
          <w:rFonts w:ascii="Century Gothic" w:eastAsia="Calibri" w:hAnsi="Century Gothic" w:cs="Times New Roman"/>
          <w:sz w:val="24"/>
          <w:szCs w:val="24"/>
        </w:rPr>
        <w:t xml:space="preserve">ALTUM 2021. gadā ir sekmīgi īstenojusi stratēģijā noteikto ALTUM galveno </w:t>
      </w:r>
      <w:proofErr w:type="spellStart"/>
      <w:r w:rsidRPr="0016623C">
        <w:rPr>
          <w:rFonts w:ascii="Century Gothic" w:eastAsia="Calibri" w:hAnsi="Century Gothic" w:cs="Times New Roman"/>
          <w:sz w:val="24"/>
          <w:szCs w:val="24"/>
        </w:rPr>
        <w:t>nefinanšu</w:t>
      </w:r>
      <w:proofErr w:type="spellEnd"/>
      <w:r w:rsidRPr="0016623C">
        <w:rPr>
          <w:rFonts w:ascii="Century Gothic" w:eastAsia="Calibri" w:hAnsi="Century Gothic" w:cs="Times New Roman"/>
          <w:sz w:val="24"/>
          <w:szCs w:val="24"/>
        </w:rPr>
        <w:t xml:space="preserve"> mērķi, atbalstīt un veicināt finanšu pieejamību uzņēmējdarbībā un sekmēt tautsaimniecības attīstību.</w:t>
      </w:r>
    </w:p>
    <w:tbl>
      <w:tblPr>
        <w:tblW w:w="10768" w:type="dxa"/>
        <w:tblLayout w:type="fixed"/>
        <w:tblLook w:val="04A0" w:firstRow="1" w:lastRow="0" w:firstColumn="1" w:lastColumn="0" w:noHBand="0" w:noVBand="1"/>
      </w:tblPr>
      <w:tblGrid>
        <w:gridCol w:w="4248"/>
        <w:gridCol w:w="850"/>
        <w:gridCol w:w="1560"/>
        <w:gridCol w:w="1842"/>
        <w:gridCol w:w="993"/>
        <w:gridCol w:w="1275"/>
      </w:tblGrid>
      <w:tr w:rsidR="00A557BB" w:rsidRPr="00524DD9" w14:paraId="71248548" w14:textId="77777777" w:rsidTr="00153F45">
        <w:trPr>
          <w:trHeight w:val="810"/>
        </w:trPr>
        <w:tc>
          <w:tcPr>
            <w:tcW w:w="4248" w:type="dxa"/>
            <w:tcBorders>
              <w:top w:val="single" w:sz="4" w:space="0" w:color="auto"/>
              <w:left w:val="single" w:sz="4" w:space="0" w:color="auto"/>
              <w:bottom w:val="single" w:sz="4" w:space="0" w:color="auto"/>
              <w:right w:val="single" w:sz="4" w:space="0" w:color="auto"/>
            </w:tcBorders>
            <w:shd w:val="clear" w:color="000000" w:fill="F2F2F2"/>
            <w:hideMark/>
          </w:tcPr>
          <w:p w14:paraId="36E76343" w14:textId="581A0BB0" w:rsidR="005330F8" w:rsidRDefault="00DA71A8" w:rsidP="00F16F8F">
            <w:pPr>
              <w:spacing w:after="0" w:line="240" w:lineRule="auto"/>
              <w:jc w:val="center"/>
              <w:rPr>
                <w:rFonts w:ascii="Century Gothic" w:eastAsia="Times New Roman" w:hAnsi="Century Gothic" w:cs="Calibri"/>
                <w:b/>
                <w:bCs/>
                <w:sz w:val="20"/>
                <w:szCs w:val="20"/>
                <w:lang w:eastAsia="lv-LV"/>
              </w:rPr>
            </w:pPr>
            <w:r>
              <w:rPr>
                <w:rFonts w:ascii="Century Gothic" w:eastAsia="Calibri" w:hAnsi="Century Gothic" w:cs="Times New Roman"/>
                <w:sz w:val="24"/>
                <w:szCs w:val="24"/>
              </w:rPr>
              <w:br w:type="page"/>
            </w:r>
            <w:proofErr w:type="spellStart"/>
            <w:r w:rsidR="005330F8" w:rsidRPr="005330F8">
              <w:rPr>
                <w:rFonts w:ascii="Century Gothic" w:eastAsia="Times New Roman" w:hAnsi="Century Gothic" w:cs="Calibri"/>
                <w:b/>
                <w:bCs/>
                <w:sz w:val="20"/>
                <w:szCs w:val="20"/>
                <w:lang w:eastAsia="lv-LV"/>
              </w:rPr>
              <w:t>Nefinanšu</w:t>
            </w:r>
            <w:proofErr w:type="spellEnd"/>
            <w:r w:rsidR="005330F8" w:rsidRPr="005330F8">
              <w:rPr>
                <w:rFonts w:ascii="Century Gothic" w:eastAsia="Times New Roman" w:hAnsi="Century Gothic" w:cs="Calibri"/>
                <w:b/>
                <w:bCs/>
                <w:sz w:val="20"/>
                <w:szCs w:val="20"/>
                <w:lang w:eastAsia="lv-LV"/>
              </w:rPr>
              <w:t xml:space="preserve"> mērķi </w:t>
            </w:r>
          </w:p>
          <w:p w14:paraId="222FAF3C" w14:textId="00FB5E1D" w:rsidR="00127A4E" w:rsidRPr="00524DD9" w:rsidRDefault="00160DDA" w:rsidP="00F16F8F">
            <w:pPr>
              <w:spacing w:after="0" w:line="240" w:lineRule="auto"/>
              <w:jc w:val="center"/>
              <w:rPr>
                <w:rFonts w:ascii="Century Gothic" w:eastAsia="Times New Roman" w:hAnsi="Century Gothic" w:cs="Calibri"/>
                <w:b/>
                <w:bCs/>
                <w:sz w:val="20"/>
                <w:szCs w:val="20"/>
                <w:lang w:eastAsia="lv-LV"/>
              </w:rPr>
            </w:pPr>
            <w:r w:rsidRPr="00160DDA">
              <w:rPr>
                <w:rFonts w:ascii="Century Gothic" w:eastAsia="Times New Roman" w:hAnsi="Century Gothic" w:cs="Calibri"/>
                <w:b/>
                <w:bCs/>
                <w:sz w:val="20"/>
                <w:szCs w:val="20"/>
                <w:lang w:eastAsia="lv-LV"/>
              </w:rPr>
              <w:t>11.03.2021. grozītajā un papildinātajā stratēģijā</w:t>
            </w:r>
          </w:p>
        </w:tc>
        <w:tc>
          <w:tcPr>
            <w:tcW w:w="850" w:type="dxa"/>
            <w:tcBorders>
              <w:top w:val="single" w:sz="4" w:space="0" w:color="auto"/>
              <w:left w:val="nil"/>
              <w:bottom w:val="single" w:sz="4" w:space="0" w:color="auto"/>
              <w:right w:val="single" w:sz="4" w:space="0" w:color="auto"/>
            </w:tcBorders>
            <w:shd w:val="clear" w:color="000000" w:fill="F2F2F2"/>
            <w:hideMark/>
          </w:tcPr>
          <w:p w14:paraId="1A62561C" w14:textId="79B487D5"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Fakts 20</w:t>
            </w:r>
            <w:r w:rsidR="005F4F50">
              <w:rPr>
                <w:rFonts w:ascii="Century Gothic" w:eastAsia="Times New Roman" w:hAnsi="Century Gothic" w:cs="Calibri"/>
                <w:b/>
                <w:bCs/>
                <w:color w:val="000000"/>
                <w:sz w:val="20"/>
                <w:szCs w:val="20"/>
                <w:lang w:eastAsia="lv-LV"/>
              </w:rPr>
              <w:t>20</w:t>
            </w:r>
            <w:r w:rsidRPr="00524DD9">
              <w:rPr>
                <w:rFonts w:ascii="Century Gothic" w:eastAsia="Times New Roman" w:hAnsi="Century Gothic" w:cs="Calibri"/>
                <w:b/>
                <w:bCs/>
                <w:color w:val="000000"/>
                <w:sz w:val="20"/>
                <w:szCs w:val="20"/>
                <w:lang w:eastAsia="lv-LV"/>
              </w:rPr>
              <w:t>. gadā</w:t>
            </w:r>
          </w:p>
        </w:tc>
        <w:tc>
          <w:tcPr>
            <w:tcW w:w="1560" w:type="dxa"/>
            <w:tcBorders>
              <w:top w:val="single" w:sz="4" w:space="0" w:color="auto"/>
              <w:left w:val="nil"/>
              <w:bottom w:val="single" w:sz="4" w:space="0" w:color="auto"/>
              <w:right w:val="single" w:sz="4" w:space="0" w:color="auto"/>
            </w:tcBorders>
            <w:shd w:val="clear" w:color="000000" w:fill="F2F2F2"/>
            <w:hideMark/>
          </w:tcPr>
          <w:p w14:paraId="498E2452" w14:textId="366EB07A"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Plānotais 20</w:t>
            </w:r>
            <w:r w:rsidR="000352FA" w:rsidRPr="00524DD9">
              <w:rPr>
                <w:rFonts w:ascii="Century Gothic" w:eastAsia="Times New Roman" w:hAnsi="Century Gothic" w:cs="Calibri"/>
                <w:b/>
                <w:bCs/>
                <w:color w:val="000000"/>
                <w:sz w:val="20"/>
                <w:szCs w:val="20"/>
                <w:lang w:eastAsia="lv-LV"/>
              </w:rPr>
              <w:t>2</w:t>
            </w:r>
            <w:r w:rsidR="005F4F50">
              <w:rPr>
                <w:rFonts w:ascii="Century Gothic" w:eastAsia="Times New Roman" w:hAnsi="Century Gothic" w:cs="Calibri"/>
                <w:b/>
                <w:bCs/>
                <w:color w:val="000000"/>
                <w:sz w:val="20"/>
                <w:szCs w:val="20"/>
                <w:lang w:eastAsia="lv-LV"/>
              </w:rPr>
              <w:t>1</w:t>
            </w:r>
            <w:r w:rsidRPr="00524DD9">
              <w:rPr>
                <w:rFonts w:ascii="Century Gothic" w:eastAsia="Times New Roman" w:hAnsi="Century Gothic" w:cs="Calibri"/>
                <w:b/>
                <w:bCs/>
                <w:color w:val="000000"/>
                <w:sz w:val="20"/>
                <w:szCs w:val="20"/>
                <w:lang w:eastAsia="lv-LV"/>
              </w:rPr>
              <w:t>.</w:t>
            </w:r>
            <w:r w:rsidR="00DA71A8">
              <w:rPr>
                <w:rFonts w:ascii="Century Gothic" w:eastAsia="Times New Roman" w:hAnsi="Century Gothic" w:cs="Calibri"/>
                <w:b/>
                <w:bCs/>
                <w:color w:val="000000"/>
                <w:sz w:val="20"/>
                <w:szCs w:val="20"/>
                <w:lang w:eastAsia="lv-LV"/>
              </w:rPr>
              <w:t xml:space="preserve"> </w:t>
            </w:r>
            <w:r w:rsidRPr="00524DD9">
              <w:rPr>
                <w:rFonts w:ascii="Century Gothic" w:eastAsia="Times New Roman" w:hAnsi="Century Gothic" w:cs="Calibri"/>
                <w:b/>
                <w:bCs/>
                <w:color w:val="000000"/>
                <w:sz w:val="20"/>
                <w:szCs w:val="20"/>
                <w:lang w:eastAsia="lv-LV"/>
              </w:rPr>
              <w:t>gadā</w:t>
            </w:r>
          </w:p>
        </w:tc>
        <w:tc>
          <w:tcPr>
            <w:tcW w:w="1842" w:type="dxa"/>
            <w:tcBorders>
              <w:top w:val="single" w:sz="4" w:space="0" w:color="auto"/>
              <w:left w:val="nil"/>
              <w:bottom w:val="single" w:sz="4" w:space="0" w:color="auto"/>
              <w:right w:val="single" w:sz="4" w:space="0" w:color="auto"/>
            </w:tcBorders>
            <w:shd w:val="clear" w:color="000000" w:fill="F2F2F2"/>
            <w:hideMark/>
          </w:tcPr>
          <w:p w14:paraId="6D1447CF" w14:textId="5999DCD1"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Fakts 20</w:t>
            </w:r>
            <w:r w:rsidR="000352FA" w:rsidRPr="00524DD9">
              <w:rPr>
                <w:rFonts w:ascii="Century Gothic" w:eastAsia="Times New Roman" w:hAnsi="Century Gothic" w:cs="Calibri"/>
                <w:b/>
                <w:bCs/>
                <w:color w:val="000000"/>
                <w:sz w:val="20"/>
                <w:szCs w:val="20"/>
                <w:lang w:eastAsia="lv-LV"/>
              </w:rPr>
              <w:t>2</w:t>
            </w:r>
            <w:r w:rsidR="005F4F50">
              <w:rPr>
                <w:rFonts w:ascii="Century Gothic" w:eastAsia="Times New Roman" w:hAnsi="Century Gothic" w:cs="Calibri"/>
                <w:b/>
                <w:bCs/>
                <w:color w:val="000000"/>
                <w:sz w:val="20"/>
                <w:szCs w:val="20"/>
                <w:lang w:eastAsia="lv-LV"/>
              </w:rPr>
              <w:t>1</w:t>
            </w:r>
            <w:r w:rsidRPr="00524DD9">
              <w:rPr>
                <w:rFonts w:ascii="Century Gothic" w:eastAsia="Times New Roman" w:hAnsi="Century Gothic" w:cs="Calibri"/>
                <w:b/>
                <w:bCs/>
                <w:color w:val="000000"/>
                <w:sz w:val="20"/>
                <w:szCs w:val="20"/>
                <w:lang w:eastAsia="lv-LV"/>
              </w:rPr>
              <w:t>.gadā</w:t>
            </w:r>
          </w:p>
        </w:tc>
        <w:tc>
          <w:tcPr>
            <w:tcW w:w="993" w:type="dxa"/>
            <w:tcBorders>
              <w:top w:val="single" w:sz="4" w:space="0" w:color="auto"/>
              <w:left w:val="nil"/>
              <w:bottom w:val="single" w:sz="4" w:space="0" w:color="auto"/>
              <w:right w:val="single" w:sz="4" w:space="0" w:color="auto"/>
            </w:tcBorders>
            <w:shd w:val="clear" w:color="000000" w:fill="F2F2F2"/>
            <w:hideMark/>
          </w:tcPr>
          <w:p w14:paraId="3E13D13A" w14:textId="74B21521"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Novirze no plānotā</w:t>
            </w:r>
          </w:p>
        </w:tc>
        <w:tc>
          <w:tcPr>
            <w:tcW w:w="1275" w:type="dxa"/>
            <w:tcBorders>
              <w:top w:val="single" w:sz="4" w:space="0" w:color="auto"/>
              <w:left w:val="nil"/>
              <w:bottom w:val="single" w:sz="4" w:space="0" w:color="auto"/>
              <w:right w:val="single" w:sz="4" w:space="0" w:color="auto"/>
            </w:tcBorders>
            <w:shd w:val="clear" w:color="000000" w:fill="F2F2F2"/>
            <w:hideMark/>
          </w:tcPr>
          <w:p w14:paraId="194E6FD2" w14:textId="4D6E435F"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Novirze no plānotā, %</w:t>
            </w:r>
          </w:p>
        </w:tc>
      </w:tr>
      <w:tr w:rsidR="00127A4E" w:rsidRPr="00524DD9" w14:paraId="75CCD684" w14:textId="77777777" w:rsidTr="00153F45">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11A0BA0" w14:textId="701FDEC4" w:rsidR="00127A4E" w:rsidRPr="00524DD9" w:rsidRDefault="00127A4E" w:rsidP="00F16F8F">
            <w:pPr>
              <w:spacing w:after="0" w:line="240" w:lineRule="auto"/>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 xml:space="preserve">Stratēģijā minētais </w:t>
            </w:r>
            <w:r w:rsidRPr="00524DD9">
              <w:rPr>
                <w:rFonts w:ascii="Century Gothic" w:eastAsia="Times New Roman" w:hAnsi="Century Gothic" w:cs="Calibri"/>
                <w:b/>
                <w:bCs/>
                <w:sz w:val="20"/>
                <w:szCs w:val="20"/>
                <w:lang w:eastAsia="lv-LV"/>
              </w:rPr>
              <w:t xml:space="preserve">ALTUM galvenais </w:t>
            </w:r>
            <w:proofErr w:type="spellStart"/>
            <w:r w:rsidRPr="00524DD9">
              <w:rPr>
                <w:rFonts w:ascii="Century Gothic" w:eastAsia="Times New Roman" w:hAnsi="Century Gothic" w:cs="Calibri"/>
                <w:b/>
                <w:bCs/>
                <w:sz w:val="20"/>
                <w:szCs w:val="20"/>
                <w:lang w:eastAsia="lv-LV"/>
              </w:rPr>
              <w:t>nefinanšu</w:t>
            </w:r>
            <w:proofErr w:type="spellEnd"/>
            <w:r w:rsidRPr="00524DD9">
              <w:rPr>
                <w:rFonts w:ascii="Century Gothic" w:eastAsia="Times New Roman" w:hAnsi="Century Gothic" w:cs="Calibri"/>
                <w:b/>
                <w:bCs/>
                <w:sz w:val="20"/>
                <w:szCs w:val="20"/>
                <w:lang w:eastAsia="lv-LV"/>
              </w:rPr>
              <w:t xml:space="preserve"> mērķis ir atbalstīt un veicināt finanšu pieejamību uzņēmējdarbībā un sekmēt tautsaimniecības attīstību</w:t>
            </w:r>
            <w:r w:rsidR="00936813" w:rsidRPr="00524DD9">
              <w:rPr>
                <w:rFonts w:ascii="Century Gothic" w:eastAsia="Times New Roman" w:hAnsi="Century Gothic" w:cs="Calibri"/>
                <w:b/>
                <w:bCs/>
                <w:sz w:val="20"/>
                <w:szCs w:val="20"/>
                <w:lang w:eastAsia="lv-LV"/>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F3CC553" w14:textId="77777777" w:rsidR="00127A4E" w:rsidRPr="001E5ED9" w:rsidRDefault="00127A4E" w:rsidP="00F16F8F">
            <w:pPr>
              <w:spacing w:after="0" w:line="240" w:lineRule="auto"/>
              <w:jc w:val="right"/>
              <w:rPr>
                <w:rFonts w:ascii="Century Gothic" w:eastAsia="Times New Roman" w:hAnsi="Century Gothic" w:cs="Calibri"/>
                <w:sz w:val="18"/>
                <w:szCs w:val="18"/>
                <w:lang w:eastAsia="lv-LV"/>
              </w:rPr>
            </w:pPr>
            <w:r w:rsidRPr="001E5ED9">
              <w:rPr>
                <w:rFonts w:ascii="Century Gothic" w:eastAsia="Times New Roman" w:hAnsi="Century Gothic" w:cs="Calibri"/>
                <w:sz w:val="18"/>
                <w:szCs w:val="18"/>
                <w:lang w:eastAsia="lv-LV"/>
              </w:rPr>
              <w:t xml:space="preserve">Izpildīts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6AF6F0" w14:textId="2F7C56CC" w:rsidR="00127A4E" w:rsidRPr="001E5ED9" w:rsidRDefault="00127A4E" w:rsidP="00F16F8F">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Izpildīt</w:t>
            </w:r>
            <w:r w:rsidR="005C43E0">
              <w:rPr>
                <w:rFonts w:ascii="Century Gothic" w:eastAsia="Times New Roman" w:hAnsi="Century Gothic" w:cs="Calibri"/>
                <w:sz w:val="20"/>
                <w:szCs w:val="20"/>
                <w:lang w:eastAsia="lv-LV"/>
              </w:rPr>
              <w:t>s</w:t>
            </w:r>
            <w:r w:rsidRPr="001E5ED9">
              <w:rPr>
                <w:rFonts w:ascii="Century Gothic" w:eastAsia="Times New Roman" w:hAnsi="Century Gothic" w:cs="Calibri"/>
                <w:sz w:val="20"/>
                <w:szCs w:val="20"/>
                <w:lang w:eastAsia="lv-LV"/>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79043B4" w14:textId="77777777" w:rsidR="00127A4E" w:rsidRPr="001E5ED9" w:rsidRDefault="00127A4E" w:rsidP="00F16F8F">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Izpildīts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824D85" w14:textId="77777777" w:rsidR="00127A4E" w:rsidRPr="001E5ED9" w:rsidRDefault="00127A4E" w:rsidP="00F16F8F">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5E4CE58" w14:textId="77777777" w:rsidR="00127A4E" w:rsidRPr="001E5ED9" w:rsidRDefault="00127A4E" w:rsidP="00F16F8F">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N</w:t>
            </w:r>
          </w:p>
        </w:tc>
      </w:tr>
      <w:tr w:rsidR="005F4F50" w:rsidRPr="00524DD9" w14:paraId="00842DBE" w14:textId="77777777" w:rsidTr="00153F45">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E4E69E8" w14:textId="60AE4DCA" w:rsidR="005F4F50" w:rsidRPr="00524DD9" w:rsidRDefault="005F4F50" w:rsidP="005F4F50">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Nr.1. </w:t>
            </w:r>
            <w:r w:rsidRPr="00524DD9">
              <w:rPr>
                <w:rFonts w:ascii="Century Gothic" w:eastAsia="Times New Roman" w:hAnsi="Century Gothic" w:cs="Calibri"/>
                <w:b/>
                <w:bCs/>
                <w:color w:val="000000"/>
                <w:sz w:val="20"/>
                <w:szCs w:val="20"/>
                <w:lang w:eastAsia="lv-LV"/>
              </w:rPr>
              <w:t xml:space="preserve">Jauno darījumu apjomi, milj. EUR (bez </w:t>
            </w:r>
            <w:proofErr w:type="spellStart"/>
            <w:r w:rsidRPr="00524DD9">
              <w:rPr>
                <w:rFonts w:ascii="Century Gothic" w:eastAsia="Times New Roman" w:hAnsi="Century Gothic" w:cs="Calibri"/>
                <w:b/>
                <w:bCs/>
                <w:color w:val="000000"/>
                <w:sz w:val="20"/>
                <w:szCs w:val="20"/>
                <w:lang w:eastAsia="lv-LV"/>
              </w:rPr>
              <w:t>grantiem</w:t>
            </w:r>
            <w:proofErr w:type="spellEnd"/>
            <w:r w:rsidRPr="00524DD9">
              <w:rPr>
                <w:rFonts w:ascii="Century Gothic" w:eastAsia="Times New Roman" w:hAnsi="Century Gothic" w:cs="Calibri"/>
                <w:b/>
                <w:bCs/>
                <w:color w:val="000000"/>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141CF1C" w14:textId="11A7BE65"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318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B3393E" w14:textId="4E2B6F63"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344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A7D1B9" w14:textId="1170E5DC"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268</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32563A7" w14:textId="6BA129DF" w:rsidR="005F4F50" w:rsidRPr="001E5ED9" w:rsidRDefault="005F4F50"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-76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C6CAF0C" w14:textId="3DBF6CFB" w:rsidR="005F4F50" w:rsidRPr="001E5ED9" w:rsidRDefault="005F4F50"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-22%</w:t>
            </w:r>
          </w:p>
        </w:tc>
      </w:tr>
      <w:tr w:rsidR="005F4F50" w:rsidRPr="00524DD9" w14:paraId="07213D04" w14:textId="77777777" w:rsidTr="00153F45">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9DB75FD" w14:textId="300B8DDB" w:rsidR="005F4F50" w:rsidRPr="00524DD9" w:rsidRDefault="005F4F50" w:rsidP="005F4F50">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Nr.2. </w:t>
            </w:r>
            <w:r w:rsidRPr="00524DD9">
              <w:rPr>
                <w:rFonts w:ascii="Century Gothic" w:eastAsia="Times New Roman" w:hAnsi="Century Gothic" w:cs="Calibri"/>
                <w:b/>
                <w:bCs/>
                <w:color w:val="000000"/>
                <w:sz w:val="20"/>
                <w:szCs w:val="20"/>
                <w:lang w:eastAsia="lv-LV"/>
              </w:rPr>
              <w:t xml:space="preserve">Bruto portfeļi uz gada beigām, milj. EUR (bez </w:t>
            </w:r>
            <w:proofErr w:type="spellStart"/>
            <w:r w:rsidRPr="00524DD9">
              <w:rPr>
                <w:rFonts w:ascii="Century Gothic" w:eastAsia="Times New Roman" w:hAnsi="Century Gothic" w:cs="Calibri"/>
                <w:b/>
                <w:bCs/>
                <w:color w:val="000000"/>
                <w:sz w:val="20"/>
                <w:szCs w:val="20"/>
                <w:lang w:eastAsia="lv-LV"/>
              </w:rPr>
              <w:t>grantiem</w:t>
            </w:r>
            <w:proofErr w:type="spellEnd"/>
            <w:r w:rsidRPr="00524DD9">
              <w:rPr>
                <w:rFonts w:ascii="Century Gothic" w:eastAsia="Times New Roman" w:hAnsi="Century Gothic" w:cs="Calibri"/>
                <w:b/>
                <w:bCs/>
                <w:color w:val="000000"/>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34A4BF2" w14:textId="0A9DDE6D"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804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4504A78" w14:textId="243909EC"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1011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745C957" w14:textId="17B2661B"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896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B49F03C" w14:textId="5811AE52" w:rsidR="005F4F50" w:rsidRPr="001E5ED9" w:rsidRDefault="005F4F50"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-115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E9221A3" w14:textId="2E95767F" w:rsidR="005F4F50" w:rsidRPr="001E5ED9" w:rsidRDefault="005F4F50"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-1%</w:t>
            </w:r>
          </w:p>
        </w:tc>
      </w:tr>
      <w:tr w:rsidR="00127A4E" w:rsidRPr="00524DD9" w14:paraId="6AA161FE" w14:textId="77777777" w:rsidTr="00153F45">
        <w:trPr>
          <w:trHeight w:val="162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12E6AEB" w14:textId="7E189C29" w:rsidR="00127A4E" w:rsidRPr="00524DD9" w:rsidRDefault="00127A4E" w:rsidP="00F16F8F">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Nr.3.  </w:t>
            </w:r>
            <w:proofErr w:type="spellStart"/>
            <w:r w:rsidRPr="00524DD9">
              <w:rPr>
                <w:rFonts w:ascii="Century Gothic" w:eastAsia="Times New Roman" w:hAnsi="Century Gothic" w:cs="Calibri"/>
                <w:b/>
                <w:bCs/>
                <w:color w:val="000000"/>
                <w:sz w:val="20"/>
                <w:szCs w:val="20"/>
                <w:lang w:eastAsia="lv-LV"/>
              </w:rPr>
              <w:t>Moody`s</w:t>
            </w:r>
            <w:proofErr w:type="spellEnd"/>
            <w:r w:rsidRPr="00524DD9">
              <w:rPr>
                <w:rFonts w:ascii="Century Gothic" w:eastAsia="Times New Roman" w:hAnsi="Century Gothic" w:cs="Calibri"/>
                <w:b/>
                <w:bCs/>
                <w:color w:val="000000"/>
                <w:sz w:val="20"/>
                <w:szCs w:val="20"/>
                <w:lang w:eastAsia="lv-LV"/>
              </w:rPr>
              <w:t xml:space="preserve"> piešķirtais kredītreitings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CC87026" w14:textId="77777777" w:rsidR="00127A4E" w:rsidRPr="001E5ED9" w:rsidRDefault="00127A4E" w:rsidP="00F16F8F">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Baa1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830CD1" w14:textId="77777777" w:rsidR="00127A4E" w:rsidRPr="001E5ED9" w:rsidRDefault="00127A4E" w:rsidP="00F16F8F">
            <w:pPr>
              <w:spacing w:after="0" w:line="240" w:lineRule="auto"/>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Ne vairāk kā divas pakāpes zem Latvijas valstij piešķirtā reitinga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E8F6B71" w14:textId="77777777" w:rsidR="00127A4E" w:rsidRPr="001E5ED9" w:rsidRDefault="00127A4E" w:rsidP="00F16F8F">
            <w:pPr>
              <w:spacing w:after="0" w:line="240" w:lineRule="auto"/>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 xml:space="preserve">Baa1, viena pakāpe zem Latvijas valstij piešķirtā reitinga A3 pēc </w:t>
            </w:r>
            <w:proofErr w:type="spellStart"/>
            <w:r w:rsidRPr="001E5ED9">
              <w:rPr>
                <w:rFonts w:ascii="Century Gothic" w:eastAsia="Times New Roman" w:hAnsi="Century Gothic" w:cs="Calibri"/>
                <w:sz w:val="20"/>
                <w:szCs w:val="20"/>
                <w:lang w:eastAsia="lv-LV"/>
              </w:rPr>
              <w:t>Moody`s</w:t>
            </w:r>
            <w:proofErr w:type="spellEnd"/>
            <w:r w:rsidRPr="001E5ED9">
              <w:rPr>
                <w:rFonts w:ascii="Century Gothic" w:eastAsia="Times New Roman" w:hAnsi="Century Gothic" w:cs="Calibri"/>
                <w:sz w:val="20"/>
                <w:szCs w:val="20"/>
                <w:lang w:eastAsia="lv-LV"/>
              </w:rPr>
              <w:t xml:space="preserve"> novērtējuma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F19ACC3" w14:textId="77777777" w:rsidR="00127A4E" w:rsidRPr="001E5ED9" w:rsidRDefault="00127A4E" w:rsidP="00F16F8F">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7058A8F" w14:textId="77777777" w:rsidR="00127A4E" w:rsidRPr="001E5ED9" w:rsidRDefault="00127A4E" w:rsidP="00F16F8F">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0%</w:t>
            </w:r>
          </w:p>
        </w:tc>
      </w:tr>
      <w:tr w:rsidR="005F4F50" w:rsidRPr="00524DD9" w14:paraId="297AB0B7" w14:textId="77777777" w:rsidTr="00153F45">
        <w:trPr>
          <w:trHeight w:val="10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C394981" w14:textId="07E5B0A8" w:rsidR="005F4F50" w:rsidRPr="00524DD9" w:rsidRDefault="005F4F50" w:rsidP="005F4F50">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Nr.4.  </w:t>
            </w:r>
            <w:r w:rsidRPr="00524DD9">
              <w:rPr>
                <w:rFonts w:ascii="Century Gothic" w:eastAsia="Times New Roman" w:hAnsi="Century Gothic" w:cs="Calibri"/>
                <w:b/>
                <w:bCs/>
                <w:color w:val="000000"/>
                <w:sz w:val="20"/>
                <w:szCs w:val="20"/>
                <w:lang w:eastAsia="lv-LV"/>
              </w:rPr>
              <w:t>ALTUM jauno darījumu iniciētais ieguldījums tautsaimniecībā gadā, milj. EUR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CC5B9D9" w14:textId="0C3E6429"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696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778775" w14:textId="3144F601"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787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C94743C" w14:textId="6E1BB08A"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792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63C0EBE" w14:textId="550AB3C5" w:rsidR="005F4F50" w:rsidRPr="001E5ED9" w:rsidRDefault="005F4F50"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90E6D0F" w14:textId="5DF33C73" w:rsidR="005F4F50" w:rsidRPr="001E5ED9" w:rsidRDefault="005F4F50"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1%</w:t>
            </w:r>
          </w:p>
        </w:tc>
      </w:tr>
      <w:tr w:rsidR="005F4F50" w:rsidRPr="00524DD9" w14:paraId="74BC7417" w14:textId="77777777" w:rsidTr="00153F45">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DA3545" w14:textId="4A3D2161" w:rsidR="005F4F50" w:rsidRPr="00524DD9" w:rsidRDefault="005F4F50" w:rsidP="005F4F50">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Nr.5.  </w:t>
            </w:r>
            <w:r w:rsidRPr="00524DD9">
              <w:rPr>
                <w:rFonts w:ascii="Century Gothic" w:eastAsia="Times New Roman" w:hAnsi="Century Gothic" w:cs="Calibri"/>
                <w:b/>
                <w:bCs/>
                <w:color w:val="000000"/>
                <w:sz w:val="20"/>
                <w:szCs w:val="20"/>
                <w:lang w:eastAsia="lv-LV"/>
              </w:rPr>
              <w:t xml:space="preserve">Valsts atbalsta programmu apjoms uz 1 darbinieku, milj. EUR (bez </w:t>
            </w:r>
            <w:proofErr w:type="spellStart"/>
            <w:r w:rsidRPr="00524DD9">
              <w:rPr>
                <w:rFonts w:ascii="Century Gothic" w:eastAsia="Times New Roman" w:hAnsi="Century Gothic" w:cs="Calibri"/>
                <w:b/>
                <w:bCs/>
                <w:color w:val="000000"/>
                <w:sz w:val="20"/>
                <w:szCs w:val="20"/>
                <w:lang w:eastAsia="lv-LV"/>
              </w:rPr>
              <w:t>grantiem</w:t>
            </w:r>
            <w:proofErr w:type="spellEnd"/>
            <w:r w:rsidRPr="00524DD9">
              <w:rPr>
                <w:rFonts w:ascii="Century Gothic" w:eastAsia="Times New Roman" w:hAnsi="Century Gothic" w:cs="Calibri"/>
                <w:b/>
                <w:bCs/>
                <w:color w:val="000000"/>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83A7B45" w14:textId="04053F02"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3.8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697F2CA" w14:textId="498AC9DE"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3.9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E49F85D" w14:textId="4A5A2B46"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4.0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6C9DE7A" w14:textId="703A6FEB" w:rsidR="005F4F50" w:rsidRPr="001E5ED9" w:rsidRDefault="005F4F50"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68CE3A" w14:textId="346EC2F0" w:rsidR="005F4F50" w:rsidRPr="001E5ED9" w:rsidRDefault="005F4F50"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3%</w:t>
            </w:r>
          </w:p>
        </w:tc>
      </w:tr>
      <w:tr w:rsidR="005F4F50" w:rsidRPr="00524DD9" w14:paraId="7BE65103" w14:textId="77777777" w:rsidTr="00153F45">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CBE7B35" w14:textId="6AA67732" w:rsidR="005F4F50" w:rsidRPr="00524DD9" w:rsidRDefault="005F4F50" w:rsidP="005F4F50">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Nr.6.  </w:t>
            </w:r>
            <w:r w:rsidRPr="00524DD9">
              <w:rPr>
                <w:rFonts w:ascii="Century Gothic" w:eastAsia="Times New Roman" w:hAnsi="Century Gothic" w:cs="Calibri"/>
                <w:b/>
                <w:bCs/>
                <w:color w:val="000000"/>
                <w:sz w:val="20"/>
                <w:szCs w:val="20"/>
                <w:lang w:eastAsia="lv-LV"/>
              </w:rPr>
              <w:t>Darbinieku mainība,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898CFA" w14:textId="670FE0CF"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F21BE0" w14:textId="77777777" w:rsidR="005F4F50" w:rsidRPr="001E5ED9" w:rsidRDefault="005F4F50"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&lt;10%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0243E0A" w14:textId="7E0C3912" w:rsidR="005F4F50" w:rsidRPr="001E5ED9" w:rsidRDefault="001E5ED9" w:rsidP="005F4F50">
            <w:pPr>
              <w:spacing w:after="0" w:line="240" w:lineRule="auto"/>
              <w:jc w:val="right"/>
              <w:rPr>
                <w:rFonts w:ascii="Century Gothic" w:eastAsia="Times New Roman" w:hAnsi="Century Gothic" w:cs="Calibri"/>
                <w:sz w:val="20"/>
                <w:szCs w:val="20"/>
                <w:lang w:eastAsia="lv-LV"/>
              </w:rPr>
            </w:pPr>
            <w:r w:rsidRPr="001E5ED9">
              <w:rPr>
                <w:rFonts w:ascii="Century Gothic" w:eastAsia="Times New Roman" w:hAnsi="Century Gothic" w:cs="Calibri"/>
                <w:sz w:val="20"/>
                <w:szCs w:val="20"/>
                <w:lang w:eastAsia="lv-LV"/>
              </w:rPr>
              <w:t>7</w:t>
            </w:r>
            <w:r w:rsidR="005F4F50" w:rsidRPr="001E5ED9">
              <w:rPr>
                <w:rFonts w:ascii="Century Gothic" w:eastAsia="Times New Roman" w:hAnsi="Century Gothic" w:cs="Calibri"/>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96CBB0F" w14:textId="3A693C92" w:rsidR="005F4F50" w:rsidRPr="001E5ED9" w:rsidRDefault="001E5ED9"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3</w:t>
            </w:r>
            <w:r w:rsidR="005F4F50" w:rsidRPr="001E5ED9">
              <w:rPr>
                <w:rFonts w:ascii="Century Gothic" w:eastAsia="Times New Roman" w:hAnsi="Century Gothic" w:cs="Calibri"/>
                <w:color w:val="000000"/>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B50F57B" w14:textId="5BB49216" w:rsidR="005F4F50" w:rsidRPr="001E5ED9" w:rsidRDefault="001E5ED9" w:rsidP="005F4F50">
            <w:pPr>
              <w:spacing w:after="0" w:line="240" w:lineRule="auto"/>
              <w:jc w:val="right"/>
              <w:rPr>
                <w:rFonts w:ascii="Century Gothic" w:eastAsia="Times New Roman" w:hAnsi="Century Gothic" w:cs="Calibri"/>
                <w:color w:val="000000"/>
                <w:sz w:val="20"/>
                <w:szCs w:val="20"/>
                <w:lang w:eastAsia="lv-LV"/>
              </w:rPr>
            </w:pPr>
            <w:r w:rsidRPr="001E5ED9">
              <w:rPr>
                <w:rFonts w:ascii="Century Gothic" w:eastAsia="Times New Roman" w:hAnsi="Century Gothic" w:cs="Calibri"/>
                <w:color w:val="000000"/>
                <w:sz w:val="20"/>
                <w:szCs w:val="20"/>
                <w:lang w:eastAsia="lv-LV"/>
              </w:rPr>
              <w:t>29</w:t>
            </w:r>
            <w:r w:rsidR="005F4F50" w:rsidRPr="001E5ED9">
              <w:rPr>
                <w:rFonts w:ascii="Century Gothic" w:eastAsia="Times New Roman" w:hAnsi="Century Gothic" w:cs="Calibri"/>
                <w:color w:val="000000"/>
                <w:sz w:val="20"/>
                <w:szCs w:val="20"/>
                <w:lang w:eastAsia="lv-LV"/>
              </w:rPr>
              <w:t>%</w:t>
            </w:r>
          </w:p>
        </w:tc>
      </w:tr>
      <w:tr w:rsidR="005F4F50" w:rsidRPr="00524DD9" w14:paraId="3070A199" w14:textId="77777777" w:rsidTr="00153F45">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DBEDE6B" w14:textId="56B22BA5" w:rsidR="005F4F50" w:rsidRPr="00524DD9" w:rsidRDefault="005F4F50" w:rsidP="005F4F50">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Nr.7.  </w:t>
            </w:r>
            <w:r w:rsidRPr="00524DD9">
              <w:rPr>
                <w:rFonts w:ascii="Century Gothic" w:eastAsia="Times New Roman" w:hAnsi="Century Gothic" w:cs="Calibri"/>
                <w:b/>
                <w:bCs/>
                <w:color w:val="000000"/>
                <w:sz w:val="20"/>
                <w:szCs w:val="20"/>
                <w:lang w:eastAsia="lv-LV"/>
              </w:rPr>
              <w:br/>
              <w:t>Apmācīto darbinieku skaits gadā,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E67924D" w14:textId="434DB904" w:rsidR="005F4F50" w:rsidRPr="00524DD9" w:rsidRDefault="005F4F50" w:rsidP="005F4F50">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95%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6646F3C" w14:textId="77777777" w:rsidR="005F4F50" w:rsidRPr="00524DD9" w:rsidRDefault="005F4F50" w:rsidP="005F4F50">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&gt;60%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60C33C6" w14:textId="16B0D22E" w:rsidR="005F4F50" w:rsidRPr="00524DD9" w:rsidRDefault="005F4F50" w:rsidP="005F4F50">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9</w:t>
            </w:r>
            <w:r w:rsidR="001E5ED9">
              <w:rPr>
                <w:rFonts w:ascii="Century Gothic" w:eastAsia="Times New Roman" w:hAnsi="Century Gothic" w:cs="Calibri"/>
                <w:sz w:val="20"/>
                <w:szCs w:val="20"/>
                <w:lang w:eastAsia="lv-LV"/>
              </w:rPr>
              <w:t>6</w:t>
            </w:r>
            <w:r w:rsidRPr="00524DD9">
              <w:rPr>
                <w:rFonts w:ascii="Century Gothic" w:eastAsia="Times New Roman" w:hAnsi="Century Gothic" w:cs="Calibri"/>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D2B311B" w14:textId="64A0F199" w:rsidR="005F4F50" w:rsidRPr="00524DD9" w:rsidRDefault="005F4F50" w:rsidP="005F4F50">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3</w:t>
            </w:r>
            <w:r w:rsidR="001E5ED9">
              <w:rPr>
                <w:rFonts w:ascii="Century Gothic" w:eastAsia="Times New Roman" w:hAnsi="Century Gothic" w:cs="Calibri"/>
                <w:color w:val="000000"/>
                <w:sz w:val="20"/>
                <w:szCs w:val="20"/>
                <w:lang w:eastAsia="lv-LV"/>
              </w:rPr>
              <w:t>6</w:t>
            </w:r>
            <w:r w:rsidRPr="00524DD9">
              <w:rPr>
                <w:rFonts w:ascii="Century Gothic" w:eastAsia="Times New Roman" w:hAnsi="Century Gothic" w:cs="Calibri"/>
                <w:color w:val="000000"/>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D07D483" w14:textId="1A54DE1E" w:rsidR="005F4F50" w:rsidRPr="00524DD9" w:rsidRDefault="001E5ED9" w:rsidP="005F4F50">
            <w:pPr>
              <w:spacing w:after="0" w:line="240" w:lineRule="auto"/>
              <w:jc w:val="right"/>
              <w:rPr>
                <w:rFonts w:ascii="Century Gothic" w:eastAsia="Times New Roman" w:hAnsi="Century Gothic" w:cs="Calibri"/>
                <w:color w:val="000000"/>
                <w:sz w:val="20"/>
                <w:szCs w:val="20"/>
                <w:lang w:eastAsia="lv-LV"/>
              </w:rPr>
            </w:pPr>
            <w:r>
              <w:rPr>
                <w:rFonts w:ascii="Century Gothic" w:eastAsia="Times New Roman" w:hAnsi="Century Gothic" w:cs="Calibri"/>
                <w:color w:val="000000"/>
                <w:sz w:val="20"/>
                <w:szCs w:val="20"/>
                <w:lang w:eastAsia="lv-LV"/>
              </w:rPr>
              <w:t>60</w:t>
            </w:r>
            <w:r w:rsidR="005F4F50" w:rsidRPr="00524DD9">
              <w:rPr>
                <w:rFonts w:ascii="Century Gothic" w:eastAsia="Times New Roman" w:hAnsi="Century Gothic" w:cs="Calibri"/>
                <w:color w:val="000000"/>
                <w:sz w:val="20"/>
                <w:szCs w:val="20"/>
                <w:lang w:eastAsia="lv-LV"/>
              </w:rPr>
              <w:t>%</w:t>
            </w:r>
          </w:p>
        </w:tc>
      </w:tr>
    </w:tbl>
    <w:p w14:paraId="70A8154C" w14:textId="77777777" w:rsidR="001C3AF0" w:rsidRPr="001C3AF0" w:rsidRDefault="001C3AF0" w:rsidP="001C3AF0">
      <w:pPr>
        <w:numPr>
          <w:ilvl w:val="0"/>
          <w:numId w:val="1"/>
        </w:numPr>
        <w:spacing w:before="120" w:after="0" w:line="276" w:lineRule="auto"/>
        <w:ind w:left="357" w:hanging="357"/>
        <w:jc w:val="both"/>
        <w:rPr>
          <w:rFonts w:ascii="Century Gothic" w:hAnsi="Century Gothic" w:cs="Times New Roman"/>
          <w:sz w:val="24"/>
          <w:szCs w:val="24"/>
          <w:u w:val="single"/>
          <w:lang w:eastAsia="lv-LV"/>
        </w:rPr>
      </w:pPr>
      <w:proofErr w:type="spellStart"/>
      <w:r w:rsidRPr="001C3AF0">
        <w:rPr>
          <w:rFonts w:ascii="Century Gothic" w:eastAsia="Times New Roman" w:hAnsi="Century Gothic" w:cs="Times New Roman"/>
          <w:sz w:val="24"/>
          <w:szCs w:val="24"/>
          <w:u w:val="single"/>
          <w:lang w:eastAsia="lv-LV"/>
        </w:rPr>
        <w:t>Nefinanšu</w:t>
      </w:r>
      <w:proofErr w:type="spellEnd"/>
      <w:r w:rsidRPr="001C3AF0">
        <w:rPr>
          <w:rFonts w:ascii="Century Gothic" w:eastAsia="Times New Roman" w:hAnsi="Century Gothic" w:cs="Times New Roman"/>
          <w:sz w:val="24"/>
          <w:szCs w:val="24"/>
          <w:u w:val="single"/>
          <w:lang w:eastAsia="lv-LV"/>
        </w:rPr>
        <w:t xml:space="preserve"> mērķis Nr. 1. Jauno darījumu apjomi, milj. EUR (bez </w:t>
      </w:r>
      <w:proofErr w:type="spellStart"/>
      <w:r w:rsidRPr="001C3AF0">
        <w:rPr>
          <w:rFonts w:ascii="Century Gothic" w:eastAsia="Times New Roman" w:hAnsi="Century Gothic" w:cs="Times New Roman"/>
          <w:sz w:val="24"/>
          <w:szCs w:val="24"/>
          <w:u w:val="single"/>
          <w:lang w:eastAsia="lv-LV"/>
        </w:rPr>
        <w:t>grantiem</w:t>
      </w:r>
      <w:proofErr w:type="spellEnd"/>
      <w:r w:rsidRPr="001C3AF0">
        <w:rPr>
          <w:rFonts w:ascii="Century Gothic" w:eastAsia="Times New Roman" w:hAnsi="Century Gothic" w:cs="Times New Roman"/>
          <w:sz w:val="24"/>
          <w:szCs w:val="24"/>
          <w:u w:val="single"/>
          <w:lang w:eastAsia="lv-LV"/>
        </w:rPr>
        <w:t xml:space="preserve">). </w:t>
      </w:r>
    </w:p>
    <w:p w14:paraId="2713DB18" w14:textId="6D694866" w:rsidR="005E689B" w:rsidRPr="005E689B" w:rsidRDefault="001C3AF0" w:rsidP="005E689B">
      <w:pPr>
        <w:spacing w:after="120" w:line="276" w:lineRule="auto"/>
        <w:ind w:left="357"/>
        <w:contextualSpacing/>
        <w:jc w:val="both"/>
        <w:rPr>
          <w:rFonts w:ascii="Century Gothic" w:hAnsi="Century Gothic" w:cs="Times New Roman"/>
          <w:sz w:val="24"/>
          <w:szCs w:val="24"/>
          <w:lang w:eastAsia="lv-LV"/>
        </w:rPr>
      </w:pPr>
      <w:r w:rsidRPr="001C3AF0">
        <w:rPr>
          <w:rFonts w:ascii="Century Gothic" w:hAnsi="Century Gothic" w:cs="Times New Roman"/>
          <w:sz w:val="24"/>
          <w:szCs w:val="24"/>
          <w:lang w:eastAsia="lv-LV"/>
        </w:rPr>
        <w:t>I</w:t>
      </w:r>
      <w:r w:rsidR="005E689B" w:rsidRPr="005E689B">
        <w:rPr>
          <w:rFonts w:ascii="Century Gothic" w:hAnsi="Century Gothic" w:cs="Times New Roman"/>
          <w:sz w:val="24"/>
          <w:szCs w:val="24"/>
          <w:lang w:eastAsia="lv-LV"/>
        </w:rPr>
        <w:t xml:space="preserve">zsniegto jauno darījumu (bez </w:t>
      </w:r>
      <w:proofErr w:type="spellStart"/>
      <w:r w:rsidR="005E689B" w:rsidRPr="005E689B">
        <w:rPr>
          <w:rFonts w:ascii="Century Gothic" w:hAnsi="Century Gothic" w:cs="Times New Roman"/>
          <w:sz w:val="24"/>
          <w:szCs w:val="24"/>
          <w:lang w:eastAsia="lv-LV"/>
        </w:rPr>
        <w:t>grantiem</w:t>
      </w:r>
      <w:proofErr w:type="spellEnd"/>
      <w:r w:rsidR="005E689B" w:rsidRPr="005E689B">
        <w:rPr>
          <w:rFonts w:ascii="Century Gothic" w:hAnsi="Century Gothic" w:cs="Times New Roman"/>
          <w:sz w:val="24"/>
          <w:szCs w:val="24"/>
          <w:lang w:eastAsia="lv-LV"/>
        </w:rPr>
        <w:t xml:space="preserve">) apjoms 2021. gadā ir 268 milj. EUR, kas ir par 22% (76 milj. EUR) mazāk par stratēģijas grozījumos plānoto. Rādītāja novirzi no plānotā ietekmēja no ALTUM neatkarīgi, iepriekš neparedzami apstākļi. Ārkārtas situācijas izsludināšana atkārtoti, dažādi pieņemtie ierobežojošie nosacījumi būtiski ietekmēja ekonomisko situāciju, taču ekonomika attīstījās straujāk par plānoto, kā </w:t>
      </w:r>
      <w:proofErr w:type="spellStart"/>
      <w:r w:rsidR="005E689B" w:rsidRPr="005E689B">
        <w:rPr>
          <w:rFonts w:ascii="Century Gothic" w:hAnsi="Century Gothic" w:cs="Times New Roman"/>
          <w:sz w:val="24"/>
          <w:szCs w:val="24"/>
          <w:lang w:eastAsia="lv-LV"/>
        </w:rPr>
        <w:t>rezulātā</w:t>
      </w:r>
      <w:proofErr w:type="spellEnd"/>
      <w:r w:rsidR="005E689B" w:rsidRPr="005E689B">
        <w:rPr>
          <w:rFonts w:ascii="Century Gothic" w:hAnsi="Century Gothic" w:cs="Times New Roman"/>
          <w:sz w:val="24"/>
          <w:szCs w:val="24"/>
          <w:lang w:eastAsia="lv-LV"/>
        </w:rPr>
        <w:t xml:space="preserve"> atsevišķu ALTUM stratēģijas grozījumos plānoto atbalsta programmu īstenošana atšķīrās no plānotā. Jauno darījumu apjomu ievērojami samazināja: </w:t>
      </w:r>
    </w:p>
    <w:p w14:paraId="3FC8F45F" w14:textId="77777777" w:rsidR="005E689B" w:rsidRPr="005E689B" w:rsidRDefault="005E689B" w:rsidP="005E689B">
      <w:pPr>
        <w:spacing w:after="120" w:line="276" w:lineRule="auto"/>
        <w:ind w:left="357"/>
        <w:contextualSpacing/>
        <w:jc w:val="both"/>
        <w:rPr>
          <w:rFonts w:ascii="Century Gothic" w:hAnsi="Century Gothic" w:cs="Times New Roman"/>
          <w:sz w:val="24"/>
          <w:szCs w:val="24"/>
          <w:lang w:eastAsia="lv-LV"/>
        </w:rPr>
      </w:pPr>
      <w:r w:rsidRPr="005E689B">
        <w:rPr>
          <w:rFonts w:ascii="Century Gothic" w:hAnsi="Century Gothic" w:cs="Times New Roman"/>
          <w:sz w:val="24"/>
          <w:szCs w:val="24"/>
          <w:lang w:eastAsia="lv-LV"/>
        </w:rPr>
        <w:t xml:space="preserve">- banku nozares zemāks nekā tika plānots pieprasījums Lielo aizdevumu un Lielo komersantu garantiju programmās, kuru </w:t>
      </w:r>
      <w:proofErr w:type="spellStart"/>
      <w:r w:rsidRPr="005E689B">
        <w:rPr>
          <w:rFonts w:ascii="Century Gothic" w:hAnsi="Century Gothic" w:cs="Times New Roman"/>
          <w:sz w:val="24"/>
          <w:szCs w:val="24"/>
          <w:lang w:eastAsia="lv-LV"/>
        </w:rPr>
        <w:t>īstenonošana</w:t>
      </w:r>
      <w:proofErr w:type="spellEnd"/>
      <w:r w:rsidRPr="005E689B">
        <w:rPr>
          <w:rFonts w:ascii="Century Gothic" w:hAnsi="Century Gothic" w:cs="Times New Roman"/>
          <w:sz w:val="24"/>
          <w:szCs w:val="24"/>
          <w:lang w:eastAsia="lv-LV"/>
        </w:rPr>
        <w:t xml:space="preserve"> iespējama vienīgi ar komercbanku iesaisti, kā rezultātā šīs programmas netika realizētas; </w:t>
      </w:r>
    </w:p>
    <w:p w14:paraId="1B53B363" w14:textId="77777777" w:rsidR="005E689B" w:rsidRPr="005E689B" w:rsidRDefault="005E689B" w:rsidP="005E689B">
      <w:pPr>
        <w:spacing w:after="120" w:line="276" w:lineRule="auto"/>
        <w:ind w:left="357"/>
        <w:contextualSpacing/>
        <w:jc w:val="both"/>
        <w:rPr>
          <w:rFonts w:ascii="Century Gothic" w:hAnsi="Century Gothic" w:cs="Times New Roman"/>
          <w:sz w:val="24"/>
          <w:szCs w:val="24"/>
          <w:lang w:eastAsia="lv-LV"/>
        </w:rPr>
      </w:pPr>
      <w:r w:rsidRPr="005E689B">
        <w:rPr>
          <w:rFonts w:ascii="Century Gothic" w:hAnsi="Century Gothic" w:cs="Times New Roman"/>
          <w:sz w:val="24"/>
          <w:szCs w:val="24"/>
          <w:lang w:eastAsia="lv-LV"/>
        </w:rPr>
        <w:t xml:space="preserve">- pieprasījuma samazināšanās pēc Covid-19 krīzes atbalsta produktiem dēļ labākas ekonomiskās situācijas nekā bija plānots pie programmas izstrādes. </w:t>
      </w:r>
    </w:p>
    <w:p w14:paraId="75158C64" w14:textId="77777777" w:rsidR="005E689B" w:rsidRPr="005E689B" w:rsidRDefault="005E689B" w:rsidP="005E689B">
      <w:pPr>
        <w:spacing w:after="120" w:line="276" w:lineRule="auto"/>
        <w:ind w:left="357"/>
        <w:contextualSpacing/>
        <w:jc w:val="both"/>
        <w:rPr>
          <w:rFonts w:ascii="Century Gothic" w:hAnsi="Century Gothic" w:cs="Times New Roman"/>
          <w:sz w:val="24"/>
          <w:szCs w:val="24"/>
          <w:lang w:eastAsia="lv-LV"/>
        </w:rPr>
      </w:pPr>
      <w:r w:rsidRPr="005E689B">
        <w:rPr>
          <w:rFonts w:ascii="Century Gothic" w:hAnsi="Century Gothic" w:cs="Times New Roman"/>
          <w:sz w:val="24"/>
          <w:szCs w:val="24"/>
          <w:lang w:eastAsia="lv-LV"/>
        </w:rPr>
        <w:lastRenderedPageBreak/>
        <w:t xml:space="preserve">Citu ALTUM produktu pieaugošais darījumu apjoms nekompensēja Covid-19 krīzes atbalsta produktu apjomu samazinājumu. </w:t>
      </w:r>
    </w:p>
    <w:p w14:paraId="56B7D7B5" w14:textId="77777777" w:rsidR="005E689B" w:rsidRPr="005E689B" w:rsidRDefault="005E689B" w:rsidP="005E689B">
      <w:pPr>
        <w:spacing w:after="120" w:line="276" w:lineRule="auto"/>
        <w:ind w:left="357"/>
        <w:contextualSpacing/>
        <w:jc w:val="both"/>
        <w:rPr>
          <w:rFonts w:ascii="Century Gothic" w:hAnsi="Century Gothic" w:cs="Times New Roman"/>
          <w:sz w:val="24"/>
          <w:szCs w:val="24"/>
          <w:lang w:eastAsia="lv-LV"/>
        </w:rPr>
      </w:pPr>
      <w:r w:rsidRPr="005E689B">
        <w:rPr>
          <w:rFonts w:ascii="Century Gothic" w:hAnsi="Century Gothic" w:cs="Times New Roman"/>
          <w:sz w:val="24"/>
          <w:szCs w:val="24"/>
          <w:lang w:eastAsia="lv-LV"/>
        </w:rPr>
        <w:t xml:space="preserve">No 268 milj. EUR 2021. gadā izsniegtā finansējuma valsts atbalsta programmu īstenošanai 47.4% (127 milj. EUR) izsniegti garantiju programmās, 37.7% (100,9 milj. EUR) – aizdevumu programmās, 10.9% (29,2 milj. EUR) – riska kapitāla fondu ieguldījumos un 4% (10,6 milj. EUR) – Zemes fonda darījumu īstenošanai. Kopā ir atbalstīti 6,579 projekti. </w:t>
      </w:r>
    </w:p>
    <w:p w14:paraId="65DB0C80" w14:textId="77777777" w:rsidR="005E689B" w:rsidRPr="005E689B" w:rsidRDefault="005E689B" w:rsidP="005E689B">
      <w:pPr>
        <w:spacing w:after="120" w:line="276" w:lineRule="auto"/>
        <w:ind w:left="357"/>
        <w:contextualSpacing/>
        <w:jc w:val="both"/>
        <w:rPr>
          <w:rFonts w:ascii="Century Gothic" w:hAnsi="Century Gothic" w:cs="Times New Roman"/>
          <w:sz w:val="24"/>
          <w:szCs w:val="24"/>
          <w:lang w:eastAsia="lv-LV"/>
        </w:rPr>
      </w:pPr>
      <w:r w:rsidRPr="005E689B">
        <w:rPr>
          <w:rFonts w:ascii="Century Gothic" w:hAnsi="Century Gothic" w:cs="Times New Roman"/>
          <w:sz w:val="24"/>
          <w:szCs w:val="24"/>
          <w:lang w:eastAsia="lv-LV"/>
        </w:rPr>
        <w:t xml:space="preserve">2021. gadā izsniegtas jaunas garantijas par 127 milj. EUR. Lielākais no jauna izsniegto garantiju apjoms 2021. gadā tika sasniegts komersantu kredītu garantiju programmā (44,5 milj. EUR), Mājokļu garantiju ģimenēm ar bērniem un Mājokļu garantiju jaunajiem speciālistiem programmā (43 milj. EUR), Covid-19 krīzes garantiju programmās (10,7 milj. EUR) un Daudzdzīvokļu māju energoefektivitātes uzlabošanas garantiju programmā (10,7 milj. EUR). </w:t>
      </w:r>
    </w:p>
    <w:p w14:paraId="1F7B6ADC" w14:textId="77777777" w:rsidR="005E689B" w:rsidRPr="005E689B" w:rsidRDefault="005E689B" w:rsidP="005E689B">
      <w:pPr>
        <w:spacing w:after="120" w:line="276" w:lineRule="auto"/>
        <w:ind w:left="357"/>
        <w:contextualSpacing/>
        <w:jc w:val="both"/>
        <w:rPr>
          <w:rFonts w:ascii="Century Gothic" w:hAnsi="Century Gothic" w:cs="Times New Roman"/>
          <w:sz w:val="24"/>
          <w:szCs w:val="24"/>
          <w:lang w:eastAsia="lv-LV"/>
        </w:rPr>
      </w:pPr>
      <w:r w:rsidRPr="005E689B">
        <w:rPr>
          <w:rFonts w:ascii="Century Gothic" w:hAnsi="Century Gothic" w:cs="Times New Roman"/>
          <w:sz w:val="24"/>
          <w:szCs w:val="24"/>
          <w:lang w:eastAsia="lv-LV"/>
        </w:rPr>
        <w:t xml:space="preserve">Ņemot vērā biznesa specifiku, daudziem uzņēmumiem ir nepieciešama regulāra izsniegto garantiju pārskatīšana un pagarināšana. Šāda veida darījumi netika iekļauti no jauna izsniegto garantiju apjomā. Šādu darījumu apjoms </w:t>
      </w:r>
      <w:proofErr w:type="spellStart"/>
      <w:r w:rsidRPr="005E689B">
        <w:rPr>
          <w:rFonts w:ascii="Century Gothic" w:hAnsi="Century Gothic" w:cs="Times New Roman"/>
          <w:sz w:val="24"/>
          <w:szCs w:val="24"/>
          <w:lang w:eastAsia="lv-LV"/>
        </w:rPr>
        <w:t>Altum</w:t>
      </w:r>
      <w:proofErr w:type="spellEnd"/>
      <w:r w:rsidRPr="005E689B">
        <w:rPr>
          <w:rFonts w:ascii="Century Gothic" w:hAnsi="Century Gothic" w:cs="Times New Roman"/>
          <w:sz w:val="24"/>
          <w:szCs w:val="24"/>
          <w:lang w:eastAsia="lv-LV"/>
        </w:rPr>
        <w:t xml:space="preserve"> ir ļoti būtisks, 2021. gadā tika pagarinātas garantijas 65,3 milj. EUR apjomā. </w:t>
      </w:r>
    </w:p>
    <w:p w14:paraId="5CBF4406" w14:textId="77777777" w:rsidR="005E689B" w:rsidRPr="005E689B" w:rsidRDefault="005E689B" w:rsidP="005E689B">
      <w:pPr>
        <w:spacing w:after="120" w:line="276" w:lineRule="auto"/>
        <w:ind w:left="357"/>
        <w:contextualSpacing/>
        <w:jc w:val="both"/>
        <w:rPr>
          <w:rFonts w:ascii="Century Gothic" w:hAnsi="Century Gothic" w:cs="Times New Roman"/>
          <w:sz w:val="24"/>
          <w:szCs w:val="24"/>
          <w:lang w:eastAsia="lv-LV"/>
        </w:rPr>
      </w:pPr>
      <w:r w:rsidRPr="005E689B">
        <w:rPr>
          <w:rFonts w:ascii="Century Gothic" w:hAnsi="Century Gothic" w:cs="Times New Roman"/>
          <w:sz w:val="24"/>
          <w:szCs w:val="24"/>
          <w:lang w:eastAsia="lv-LV"/>
        </w:rPr>
        <w:t xml:space="preserve">2021. gadā no jauna izsniegto aizdevumu apjoms ir 100,9 milj. EUR. </w:t>
      </w:r>
    </w:p>
    <w:p w14:paraId="47CBC2E0" w14:textId="409E6AF1" w:rsidR="001C3AF0" w:rsidRPr="001C3AF0" w:rsidRDefault="005E689B" w:rsidP="005E689B">
      <w:pPr>
        <w:spacing w:after="120" w:line="276" w:lineRule="auto"/>
        <w:ind w:left="357"/>
        <w:contextualSpacing/>
        <w:jc w:val="both"/>
        <w:rPr>
          <w:rFonts w:ascii="Century Gothic" w:hAnsi="Century Gothic" w:cs="Times New Roman"/>
          <w:sz w:val="24"/>
          <w:szCs w:val="24"/>
          <w:lang w:eastAsia="lv-LV"/>
        </w:rPr>
      </w:pPr>
      <w:r w:rsidRPr="005E689B">
        <w:rPr>
          <w:rFonts w:ascii="Century Gothic" w:hAnsi="Century Gothic" w:cs="Times New Roman"/>
          <w:sz w:val="24"/>
          <w:szCs w:val="24"/>
          <w:lang w:eastAsia="lv-LV"/>
        </w:rPr>
        <w:t xml:space="preserve">2021. gadā riska kapitāla fondu ietvaros ALTUM veiktie ieguldījumi sastāda 29,2 milj. EUR, no kuriem </w:t>
      </w:r>
      <w:proofErr w:type="spellStart"/>
      <w:r w:rsidRPr="005E689B">
        <w:rPr>
          <w:rFonts w:ascii="Century Gothic" w:hAnsi="Century Gothic" w:cs="Times New Roman"/>
          <w:sz w:val="24"/>
          <w:szCs w:val="24"/>
          <w:lang w:eastAsia="lv-LV"/>
        </w:rPr>
        <w:t>Altum</w:t>
      </w:r>
      <w:proofErr w:type="spellEnd"/>
      <w:r w:rsidRPr="005E689B">
        <w:rPr>
          <w:rFonts w:ascii="Century Gothic" w:hAnsi="Century Gothic" w:cs="Times New Roman"/>
          <w:sz w:val="24"/>
          <w:szCs w:val="24"/>
          <w:lang w:eastAsia="lv-LV"/>
        </w:rPr>
        <w:t xml:space="preserve"> Kapitāla fonda ietvaros ALTUM ir veikusi 14,9 milj. EUR lielu ieguldījumu, 4.paaudzes riska kapitāla fondu ietvaros 8 milj. EUR, Trīs jūru iniciatīvas investīciju fondā 2,9 milj. EUR, savukārt, Baltijas Inovāciju fonda un Baltijas Inovāciju fonda 2 ietvaros attiecīgi 2,2 milj. EUR un 1,2 milj. EUR</w:t>
      </w:r>
      <w:r w:rsidR="001C3AF0" w:rsidRPr="001C3AF0">
        <w:rPr>
          <w:rFonts w:ascii="Century Gothic" w:hAnsi="Century Gothic" w:cs="Times New Roman"/>
          <w:sz w:val="24"/>
          <w:szCs w:val="24"/>
          <w:lang w:eastAsia="lv-LV"/>
        </w:rPr>
        <w:t xml:space="preserve">. </w:t>
      </w:r>
    </w:p>
    <w:p w14:paraId="6EFFE9B5" w14:textId="77777777" w:rsidR="001C3AF0" w:rsidRPr="001C3AF0" w:rsidRDefault="001C3AF0" w:rsidP="001C3AF0">
      <w:pPr>
        <w:numPr>
          <w:ilvl w:val="0"/>
          <w:numId w:val="1"/>
        </w:numPr>
        <w:spacing w:before="120" w:after="0" w:line="276" w:lineRule="auto"/>
        <w:ind w:left="357" w:hanging="357"/>
        <w:jc w:val="both"/>
        <w:rPr>
          <w:rFonts w:ascii="Century Gothic" w:hAnsi="Century Gothic" w:cs="Times New Roman"/>
          <w:sz w:val="24"/>
          <w:szCs w:val="24"/>
          <w:u w:val="single"/>
          <w:lang w:eastAsia="lv-LV"/>
        </w:rPr>
      </w:pPr>
      <w:proofErr w:type="spellStart"/>
      <w:r w:rsidRPr="001C3AF0">
        <w:rPr>
          <w:rFonts w:ascii="Century Gothic" w:eastAsia="Times New Roman" w:hAnsi="Century Gothic" w:cs="Times New Roman"/>
          <w:sz w:val="24"/>
          <w:szCs w:val="24"/>
          <w:u w:val="single"/>
          <w:lang w:eastAsia="lv-LV"/>
        </w:rPr>
        <w:t>Nefinanšu</w:t>
      </w:r>
      <w:proofErr w:type="spellEnd"/>
      <w:r w:rsidRPr="001C3AF0">
        <w:rPr>
          <w:rFonts w:ascii="Century Gothic" w:eastAsia="Times New Roman" w:hAnsi="Century Gothic" w:cs="Times New Roman"/>
          <w:sz w:val="24"/>
          <w:szCs w:val="24"/>
          <w:u w:val="single"/>
          <w:lang w:eastAsia="lv-LV"/>
        </w:rPr>
        <w:t xml:space="preserve"> mērķis Nr. 2. Bruto portfeļi uz gada beigām, milj. EUR (bez </w:t>
      </w:r>
      <w:proofErr w:type="spellStart"/>
      <w:r w:rsidRPr="001C3AF0">
        <w:rPr>
          <w:rFonts w:ascii="Century Gothic" w:eastAsia="Times New Roman" w:hAnsi="Century Gothic" w:cs="Times New Roman"/>
          <w:sz w:val="24"/>
          <w:szCs w:val="24"/>
          <w:u w:val="single"/>
          <w:lang w:eastAsia="lv-LV"/>
        </w:rPr>
        <w:t>grantiem</w:t>
      </w:r>
      <w:proofErr w:type="spellEnd"/>
      <w:r w:rsidRPr="001C3AF0">
        <w:rPr>
          <w:rFonts w:ascii="Century Gothic" w:eastAsia="Times New Roman" w:hAnsi="Century Gothic" w:cs="Times New Roman"/>
          <w:sz w:val="24"/>
          <w:szCs w:val="24"/>
          <w:u w:val="single"/>
          <w:lang w:eastAsia="lv-LV"/>
        </w:rPr>
        <w:t xml:space="preserve">). </w:t>
      </w:r>
    </w:p>
    <w:p w14:paraId="144F75BF" w14:textId="7C95DCCB" w:rsidR="00806A44" w:rsidRPr="00806A44" w:rsidRDefault="001C3AF0" w:rsidP="00806A44">
      <w:pPr>
        <w:spacing w:after="0" w:line="276" w:lineRule="auto"/>
        <w:ind w:left="357"/>
        <w:jc w:val="both"/>
        <w:rPr>
          <w:rFonts w:ascii="Century Gothic" w:hAnsi="Century Gothic" w:cs="Times New Roman"/>
          <w:sz w:val="24"/>
          <w:szCs w:val="24"/>
          <w:lang w:eastAsia="lv-LV"/>
        </w:rPr>
      </w:pPr>
      <w:r w:rsidRPr="001C3AF0">
        <w:rPr>
          <w:rFonts w:ascii="Century Gothic" w:hAnsi="Century Gothic" w:cs="Times New Roman"/>
          <w:sz w:val="24"/>
          <w:szCs w:val="24"/>
          <w:lang w:eastAsia="lv-LV"/>
        </w:rPr>
        <w:t xml:space="preserve">Bruto </w:t>
      </w:r>
      <w:r w:rsidR="00806A44" w:rsidRPr="00806A44">
        <w:rPr>
          <w:rFonts w:ascii="Century Gothic" w:hAnsi="Century Gothic" w:cs="Times New Roman"/>
          <w:sz w:val="24"/>
          <w:szCs w:val="24"/>
          <w:lang w:eastAsia="lv-LV"/>
        </w:rPr>
        <w:t xml:space="preserve">portfeļi uz gada beigām, milj. EUR (bez </w:t>
      </w:r>
      <w:proofErr w:type="spellStart"/>
      <w:r w:rsidR="00806A44" w:rsidRPr="00806A44">
        <w:rPr>
          <w:rFonts w:ascii="Century Gothic" w:hAnsi="Century Gothic" w:cs="Times New Roman"/>
          <w:sz w:val="24"/>
          <w:szCs w:val="24"/>
          <w:lang w:eastAsia="lv-LV"/>
        </w:rPr>
        <w:t>grantiem</w:t>
      </w:r>
      <w:proofErr w:type="spellEnd"/>
      <w:r w:rsidR="00806A44" w:rsidRPr="00806A44">
        <w:rPr>
          <w:rFonts w:ascii="Century Gothic" w:hAnsi="Century Gothic" w:cs="Times New Roman"/>
          <w:sz w:val="24"/>
          <w:szCs w:val="24"/>
          <w:lang w:eastAsia="lv-LV"/>
        </w:rPr>
        <w:t xml:space="preserve">) uz 2021. gada beigām ir 896 milj. EUR, kas ir par 11% (115 milj. EUR) mazāk par stratēģijā plānoto. </w:t>
      </w:r>
    </w:p>
    <w:p w14:paraId="4764DB94" w14:textId="77777777" w:rsidR="00806A44" w:rsidRPr="00806A44" w:rsidRDefault="00806A44" w:rsidP="00806A44">
      <w:pPr>
        <w:spacing w:after="0" w:line="276" w:lineRule="auto"/>
        <w:ind w:left="357"/>
        <w:jc w:val="both"/>
        <w:rPr>
          <w:rFonts w:ascii="Century Gothic" w:hAnsi="Century Gothic" w:cs="Times New Roman"/>
          <w:sz w:val="24"/>
          <w:szCs w:val="24"/>
          <w:lang w:eastAsia="lv-LV"/>
        </w:rPr>
      </w:pPr>
      <w:r w:rsidRPr="00806A44">
        <w:rPr>
          <w:rFonts w:ascii="Century Gothic" w:hAnsi="Century Gothic" w:cs="Times New Roman"/>
          <w:sz w:val="24"/>
          <w:szCs w:val="24"/>
          <w:lang w:eastAsia="lv-LV"/>
        </w:rPr>
        <w:t xml:space="preserve">Rādītāja novirzi no plānotā ietekmēja no ALTUM neatkarīgi, iepriekš neparedzami apstākļi. Mazāku apjomu ietekmēja </w:t>
      </w:r>
      <w:proofErr w:type="spellStart"/>
      <w:r w:rsidRPr="00806A44">
        <w:rPr>
          <w:rFonts w:ascii="Century Gothic" w:hAnsi="Century Gothic" w:cs="Times New Roman"/>
          <w:sz w:val="24"/>
          <w:szCs w:val="24"/>
          <w:lang w:eastAsia="lv-LV"/>
        </w:rPr>
        <w:t>neizsniegais</w:t>
      </w:r>
      <w:proofErr w:type="spellEnd"/>
      <w:r w:rsidRPr="00806A44">
        <w:rPr>
          <w:rFonts w:ascii="Century Gothic" w:hAnsi="Century Gothic" w:cs="Times New Roman"/>
          <w:sz w:val="24"/>
          <w:szCs w:val="24"/>
          <w:lang w:eastAsia="lv-LV"/>
        </w:rPr>
        <w:t xml:space="preserve"> apjoms neīstenotajās Lielo aizdevumu un Lielo komersantu garantiju programmās (skat. skaidrojumu pie rādītāja "Jauno darījumu apjomi (bez </w:t>
      </w:r>
      <w:proofErr w:type="spellStart"/>
      <w:r w:rsidRPr="00806A44">
        <w:rPr>
          <w:rFonts w:ascii="Century Gothic" w:hAnsi="Century Gothic" w:cs="Times New Roman"/>
          <w:sz w:val="24"/>
          <w:szCs w:val="24"/>
          <w:lang w:eastAsia="lv-LV"/>
        </w:rPr>
        <w:t>grantiem</w:t>
      </w:r>
      <w:proofErr w:type="spellEnd"/>
      <w:r w:rsidRPr="00806A44">
        <w:rPr>
          <w:rFonts w:ascii="Century Gothic" w:hAnsi="Century Gothic" w:cs="Times New Roman"/>
          <w:sz w:val="24"/>
          <w:szCs w:val="24"/>
          <w:lang w:eastAsia="lv-LV"/>
        </w:rPr>
        <w:t xml:space="preserve">)") kā arī mazāks par plānoto Covid-19 krīzes atbalsta produktu apjoms. </w:t>
      </w:r>
    </w:p>
    <w:p w14:paraId="0348A9A4" w14:textId="77777777" w:rsidR="00806A44" w:rsidRPr="00806A44" w:rsidRDefault="00806A44" w:rsidP="00806A44">
      <w:pPr>
        <w:spacing w:after="0" w:line="276" w:lineRule="auto"/>
        <w:ind w:left="357"/>
        <w:jc w:val="both"/>
        <w:rPr>
          <w:rFonts w:ascii="Century Gothic" w:hAnsi="Century Gothic" w:cs="Times New Roman"/>
          <w:sz w:val="24"/>
          <w:szCs w:val="24"/>
          <w:lang w:eastAsia="lv-LV"/>
        </w:rPr>
      </w:pPr>
      <w:r w:rsidRPr="00806A44">
        <w:rPr>
          <w:rFonts w:ascii="Century Gothic" w:hAnsi="Century Gothic" w:cs="Times New Roman"/>
          <w:sz w:val="24"/>
          <w:szCs w:val="24"/>
          <w:lang w:eastAsia="lv-LV"/>
        </w:rPr>
        <w:t xml:space="preserve">Salīdzinot ar 2020. gadu ALTUM portfelis ir pieaudzis par 11% (92 milj. EUR). pēc apjoma un par 4,400 (+16.6%) pēc projektu skaita. </w:t>
      </w:r>
    </w:p>
    <w:p w14:paraId="15A0A922" w14:textId="77777777" w:rsidR="00806A44" w:rsidRPr="00806A44" w:rsidRDefault="00806A44" w:rsidP="00806A44">
      <w:pPr>
        <w:spacing w:after="0" w:line="276" w:lineRule="auto"/>
        <w:ind w:left="357"/>
        <w:jc w:val="both"/>
        <w:rPr>
          <w:rFonts w:ascii="Century Gothic" w:hAnsi="Century Gothic" w:cs="Times New Roman"/>
          <w:sz w:val="24"/>
          <w:szCs w:val="24"/>
          <w:lang w:eastAsia="lv-LV"/>
        </w:rPr>
      </w:pPr>
      <w:r w:rsidRPr="00806A44">
        <w:rPr>
          <w:rFonts w:ascii="Century Gothic" w:hAnsi="Century Gothic" w:cs="Times New Roman"/>
          <w:sz w:val="24"/>
          <w:szCs w:val="24"/>
          <w:lang w:eastAsia="lv-LV"/>
        </w:rPr>
        <w:t xml:space="preserve">No finanšu instrumentiem vislielāko pieaugumu 2021. gadā sasniedza garantiju portfelis, palielinoties par 55,4 milj. EUR (+15.2%), Savukārt, garantiju portfelī esošo projektu skaits pieauga par 4,080 projektiem (+21.2%). Garantiju portfeļa pieaugumu 2021. gadā nodrošināja Mājokļu garantijas ģimenēm ar bērniem un Mājokļu garantijas jauniem speciālistiem (+33,2 milj. EUR), kā arī kredītu garantijas komersantiem un </w:t>
      </w:r>
      <w:proofErr w:type="spellStart"/>
      <w:r w:rsidRPr="00806A44">
        <w:rPr>
          <w:rFonts w:ascii="Century Gothic" w:hAnsi="Century Gothic" w:cs="Times New Roman"/>
          <w:sz w:val="24"/>
          <w:szCs w:val="24"/>
          <w:lang w:eastAsia="lv-LV"/>
        </w:rPr>
        <w:t>portfeļgarantijas</w:t>
      </w:r>
      <w:proofErr w:type="spellEnd"/>
      <w:r w:rsidRPr="00806A44">
        <w:rPr>
          <w:rFonts w:ascii="Century Gothic" w:hAnsi="Century Gothic" w:cs="Times New Roman"/>
          <w:sz w:val="24"/>
          <w:szCs w:val="24"/>
          <w:lang w:eastAsia="lv-LV"/>
        </w:rPr>
        <w:t xml:space="preserve"> (+27 milj. EUR). Savukārt, pieprasījums pēc Covid-19 krīzes garantiju instrumentiem ir būtiski nokrities. </w:t>
      </w:r>
    </w:p>
    <w:p w14:paraId="4F854BCE" w14:textId="77777777" w:rsidR="00806A44" w:rsidRPr="00806A44" w:rsidRDefault="00806A44" w:rsidP="00806A44">
      <w:pPr>
        <w:spacing w:after="0" w:line="276" w:lineRule="auto"/>
        <w:ind w:left="357"/>
        <w:jc w:val="both"/>
        <w:rPr>
          <w:rFonts w:ascii="Century Gothic" w:hAnsi="Century Gothic" w:cs="Times New Roman"/>
          <w:sz w:val="24"/>
          <w:szCs w:val="24"/>
          <w:lang w:eastAsia="lv-LV"/>
        </w:rPr>
      </w:pPr>
      <w:r w:rsidRPr="00806A44">
        <w:rPr>
          <w:rFonts w:ascii="Century Gothic" w:hAnsi="Century Gothic" w:cs="Times New Roman"/>
          <w:sz w:val="24"/>
          <w:szCs w:val="24"/>
          <w:lang w:eastAsia="lv-LV"/>
        </w:rPr>
        <w:t>Kredītportfelis 2021. gadā ir palielinājies par 13,2 milj. EUR (+4.4%) pēc apjoma un par 153 (+2.4%) pēc projektu skaita.</w:t>
      </w:r>
    </w:p>
    <w:p w14:paraId="47B9EF22" w14:textId="77777777" w:rsidR="00806A44" w:rsidRPr="00806A44" w:rsidRDefault="00806A44" w:rsidP="00806A44">
      <w:pPr>
        <w:spacing w:after="0" w:line="276" w:lineRule="auto"/>
        <w:ind w:left="357"/>
        <w:jc w:val="both"/>
        <w:rPr>
          <w:rFonts w:ascii="Century Gothic" w:hAnsi="Century Gothic" w:cs="Times New Roman"/>
          <w:sz w:val="24"/>
          <w:szCs w:val="24"/>
          <w:lang w:eastAsia="lv-LV"/>
        </w:rPr>
      </w:pPr>
      <w:r w:rsidRPr="00806A44">
        <w:rPr>
          <w:rFonts w:ascii="Century Gothic" w:hAnsi="Century Gothic" w:cs="Times New Roman"/>
          <w:sz w:val="24"/>
          <w:szCs w:val="24"/>
          <w:lang w:eastAsia="lv-LV"/>
        </w:rPr>
        <w:t>Riska kapitāla fondu apjoms 2021. gadā ir pieaudzis par 12,8 milj. EUR (+17.5%), kas ir ievērojami vairāk nekā 2020. gadā. Riska kapitāla fondu apjoma lielāko pieaugumu nodrošināja ieguldījumi AIF “</w:t>
      </w:r>
      <w:proofErr w:type="spellStart"/>
      <w:r w:rsidRPr="00806A44">
        <w:rPr>
          <w:rFonts w:ascii="Century Gothic" w:hAnsi="Century Gothic" w:cs="Times New Roman"/>
          <w:sz w:val="24"/>
          <w:szCs w:val="24"/>
          <w:lang w:eastAsia="lv-LV"/>
        </w:rPr>
        <w:t>Altum</w:t>
      </w:r>
      <w:proofErr w:type="spellEnd"/>
      <w:r w:rsidRPr="00806A44">
        <w:rPr>
          <w:rFonts w:ascii="Century Gothic" w:hAnsi="Century Gothic" w:cs="Times New Roman"/>
          <w:sz w:val="24"/>
          <w:szCs w:val="24"/>
          <w:lang w:eastAsia="lv-LV"/>
        </w:rPr>
        <w:t xml:space="preserve"> kapitāla fonds”.</w:t>
      </w:r>
    </w:p>
    <w:p w14:paraId="7FA3011D" w14:textId="4317C843" w:rsidR="001C3AF0" w:rsidRPr="001C3AF0" w:rsidRDefault="00806A44" w:rsidP="00806A44">
      <w:pPr>
        <w:spacing w:after="0" w:line="276" w:lineRule="auto"/>
        <w:ind w:left="357"/>
        <w:jc w:val="both"/>
        <w:rPr>
          <w:rFonts w:ascii="Century Gothic" w:hAnsi="Century Gothic" w:cs="Times New Roman"/>
          <w:sz w:val="24"/>
          <w:szCs w:val="24"/>
          <w:lang w:eastAsia="lv-LV"/>
        </w:rPr>
      </w:pPr>
      <w:r w:rsidRPr="00806A44">
        <w:rPr>
          <w:rFonts w:ascii="Century Gothic" w:hAnsi="Century Gothic" w:cs="Times New Roman"/>
          <w:sz w:val="24"/>
          <w:szCs w:val="24"/>
          <w:lang w:eastAsia="lv-LV"/>
        </w:rPr>
        <w:lastRenderedPageBreak/>
        <w:t>Neskatoties uz to, ka 2021. gadā pieprasījums pēc Zemes fonda pakalpojumiem ir bijis mazāks nekā 2020. gadā, Zemes fonda darbības apjomi turpina augt un tā portfelis 2021. gadā ir pieaudzis par 10,9 milj. EUR (+16%) pēc apjoma un par 200 (+27.7%) pēc projektu skaita. 2021. gada 31. decembrī Zemes fonda bilancē ir uzskaitīti 1,202 īpašumi ar kopējo zemes platību 23,439 ha, 79,2 milj. EUR vērtībā, t.sk. ieguldījuma īpašumi, kas iznomāti lauksaimniekiem ir 13,778 ha, 46.2 milj. EUR vērtībā un noslēgtie reversās nomas darījumi ir 9,661 ha, 33 milj. EUR vērtībā</w:t>
      </w:r>
      <w:r w:rsidR="001C3AF0" w:rsidRPr="001C3AF0">
        <w:rPr>
          <w:rFonts w:ascii="Century Gothic" w:hAnsi="Century Gothic" w:cs="Times New Roman"/>
          <w:sz w:val="24"/>
          <w:szCs w:val="24"/>
          <w:lang w:eastAsia="lv-LV"/>
        </w:rPr>
        <w:t xml:space="preserve">. </w:t>
      </w:r>
    </w:p>
    <w:p w14:paraId="2B6EB032" w14:textId="77777777" w:rsidR="001C3AF0" w:rsidRPr="001C3AF0" w:rsidRDefault="001C3AF0" w:rsidP="001C3AF0">
      <w:pPr>
        <w:numPr>
          <w:ilvl w:val="0"/>
          <w:numId w:val="1"/>
        </w:numPr>
        <w:spacing w:before="120" w:after="0" w:line="276" w:lineRule="auto"/>
        <w:ind w:left="357" w:hanging="357"/>
        <w:jc w:val="both"/>
        <w:rPr>
          <w:rFonts w:ascii="Century Gothic" w:hAnsi="Century Gothic" w:cs="Times New Roman"/>
          <w:sz w:val="24"/>
          <w:szCs w:val="24"/>
          <w:u w:val="single"/>
          <w:lang w:eastAsia="lv-LV"/>
        </w:rPr>
      </w:pPr>
      <w:proofErr w:type="spellStart"/>
      <w:r w:rsidRPr="001C3AF0">
        <w:rPr>
          <w:rFonts w:ascii="Century Gothic" w:eastAsia="Times New Roman" w:hAnsi="Century Gothic" w:cs="Times New Roman"/>
          <w:sz w:val="24"/>
          <w:szCs w:val="24"/>
          <w:u w:val="single"/>
          <w:lang w:eastAsia="lv-LV"/>
        </w:rPr>
        <w:t>Nefinanšu</w:t>
      </w:r>
      <w:proofErr w:type="spellEnd"/>
      <w:r w:rsidRPr="001C3AF0">
        <w:rPr>
          <w:rFonts w:ascii="Century Gothic" w:eastAsia="Times New Roman" w:hAnsi="Century Gothic" w:cs="Times New Roman"/>
          <w:sz w:val="24"/>
          <w:szCs w:val="24"/>
          <w:u w:val="single"/>
          <w:lang w:eastAsia="lv-LV"/>
        </w:rPr>
        <w:t xml:space="preserve"> mērķis Nr. 3. </w:t>
      </w:r>
      <w:proofErr w:type="spellStart"/>
      <w:r w:rsidRPr="001C3AF0">
        <w:rPr>
          <w:rFonts w:ascii="Century Gothic" w:eastAsia="Times New Roman" w:hAnsi="Century Gothic" w:cs="Times New Roman"/>
          <w:sz w:val="24"/>
          <w:szCs w:val="24"/>
          <w:u w:val="single"/>
          <w:lang w:eastAsia="lv-LV"/>
        </w:rPr>
        <w:t>Moody`s</w:t>
      </w:r>
      <w:proofErr w:type="spellEnd"/>
      <w:r w:rsidRPr="001C3AF0">
        <w:rPr>
          <w:rFonts w:ascii="Century Gothic" w:eastAsia="Times New Roman" w:hAnsi="Century Gothic" w:cs="Times New Roman"/>
          <w:sz w:val="24"/>
          <w:szCs w:val="24"/>
          <w:u w:val="single"/>
          <w:lang w:eastAsia="lv-LV"/>
        </w:rPr>
        <w:t xml:space="preserve"> piešķirtais kredītreitings. </w:t>
      </w:r>
    </w:p>
    <w:p w14:paraId="506A2EFA" w14:textId="62CFBAED" w:rsidR="001C3AF0" w:rsidRPr="001C3AF0" w:rsidRDefault="001C3AF0" w:rsidP="001C3AF0">
      <w:pPr>
        <w:spacing w:after="0" w:line="276" w:lineRule="auto"/>
        <w:ind w:left="357"/>
        <w:jc w:val="both"/>
        <w:rPr>
          <w:rFonts w:ascii="Century Gothic" w:eastAsia="Times New Roman" w:hAnsi="Century Gothic" w:cs="Times New Roman"/>
          <w:sz w:val="24"/>
          <w:szCs w:val="24"/>
          <w:lang w:eastAsia="lv-LV"/>
        </w:rPr>
      </w:pPr>
      <w:r w:rsidRPr="001C3AF0">
        <w:rPr>
          <w:rFonts w:ascii="Century Gothic" w:eastAsia="Times New Roman" w:hAnsi="Century Gothic" w:cs="Times New Roman"/>
          <w:sz w:val="24"/>
          <w:szCs w:val="24"/>
          <w:lang w:eastAsia="lv-LV"/>
        </w:rPr>
        <w:t xml:space="preserve">Starptautiskā kredītreitingu aģentūra </w:t>
      </w:r>
      <w:proofErr w:type="spellStart"/>
      <w:r w:rsidRPr="001C3AF0">
        <w:rPr>
          <w:rFonts w:ascii="Century Gothic" w:eastAsia="Times New Roman" w:hAnsi="Century Gothic" w:cs="Times New Roman"/>
          <w:sz w:val="24"/>
          <w:szCs w:val="24"/>
          <w:lang w:eastAsia="lv-LV"/>
        </w:rPr>
        <w:t>Moody's</w:t>
      </w:r>
      <w:proofErr w:type="spellEnd"/>
      <w:r w:rsidRPr="001C3AF0">
        <w:rPr>
          <w:rFonts w:ascii="Century Gothic" w:eastAsia="Times New Roman" w:hAnsi="Century Gothic" w:cs="Times New Roman"/>
          <w:sz w:val="24"/>
          <w:szCs w:val="24"/>
          <w:lang w:eastAsia="lv-LV"/>
        </w:rPr>
        <w:t xml:space="preserve"> Investors </w:t>
      </w:r>
      <w:proofErr w:type="spellStart"/>
      <w:r w:rsidRPr="001C3AF0">
        <w:rPr>
          <w:rFonts w:ascii="Century Gothic" w:eastAsia="Times New Roman" w:hAnsi="Century Gothic" w:cs="Times New Roman"/>
          <w:sz w:val="24"/>
          <w:szCs w:val="24"/>
          <w:lang w:eastAsia="lv-LV"/>
        </w:rPr>
        <w:t>Service</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Moody's</w:t>
      </w:r>
      <w:proofErr w:type="spellEnd"/>
      <w:r w:rsidRPr="001C3AF0">
        <w:rPr>
          <w:rFonts w:ascii="Century Gothic" w:eastAsia="Times New Roman" w:hAnsi="Century Gothic" w:cs="Times New Roman"/>
          <w:sz w:val="24"/>
          <w:szCs w:val="24"/>
          <w:lang w:eastAsia="lv-LV"/>
        </w:rPr>
        <w:t xml:space="preserve">”) 2021. gada 12. augustā publicēja aktualizētu analītisko ziņojumu par ALTUM kredītspējas novērtēšanu. </w:t>
      </w:r>
      <w:proofErr w:type="spellStart"/>
      <w:r w:rsidRPr="001C3AF0">
        <w:rPr>
          <w:rFonts w:ascii="Century Gothic" w:eastAsia="Times New Roman" w:hAnsi="Century Gothic" w:cs="Times New Roman"/>
          <w:sz w:val="24"/>
          <w:szCs w:val="24"/>
          <w:lang w:eastAsia="lv-LV"/>
        </w:rPr>
        <w:t>Moody’s</w:t>
      </w:r>
      <w:proofErr w:type="spellEnd"/>
      <w:r w:rsidRPr="001C3AF0">
        <w:rPr>
          <w:rFonts w:ascii="Century Gothic" w:eastAsia="Times New Roman" w:hAnsi="Century Gothic" w:cs="Times New Roman"/>
          <w:sz w:val="24"/>
          <w:szCs w:val="24"/>
          <w:lang w:eastAsia="lv-LV"/>
        </w:rPr>
        <w:t xml:space="preserve"> ALTUM ir piešķīrusi ilgtermiņa kredītreitingu Baa1 ar stabilu nākotnes perspektīvu, bāzes </w:t>
      </w:r>
      <w:proofErr w:type="spellStart"/>
      <w:r w:rsidRPr="001C3AF0">
        <w:rPr>
          <w:rFonts w:ascii="Century Gothic" w:eastAsia="Times New Roman" w:hAnsi="Century Gothic" w:cs="Times New Roman"/>
          <w:sz w:val="24"/>
          <w:szCs w:val="24"/>
          <w:lang w:eastAsia="lv-LV"/>
        </w:rPr>
        <w:t>kredītnovērtējumu</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baseline</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credit</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assessment</w:t>
      </w:r>
      <w:proofErr w:type="spellEnd"/>
      <w:r w:rsidRPr="001C3AF0">
        <w:rPr>
          <w:rFonts w:ascii="Century Gothic" w:eastAsia="Times New Roman" w:hAnsi="Century Gothic" w:cs="Times New Roman"/>
          <w:sz w:val="24"/>
          <w:szCs w:val="24"/>
          <w:lang w:eastAsia="lv-LV"/>
        </w:rPr>
        <w:t>, BCA) Baa3</w:t>
      </w:r>
      <w:r w:rsidRPr="001C3AF0">
        <w:rPr>
          <w:rFonts w:ascii="Century Gothic" w:hAnsi="Century Gothic" w:cs="Times New Roman"/>
          <w:lang w:eastAsia="lv-LV"/>
        </w:rPr>
        <w:t xml:space="preserve"> </w:t>
      </w:r>
      <w:r w:rsidRPr="001C3AF0">
        <w:rPr>
          <w:rFonts w:ascii="Century Gothic" w:eastAsia="Times New Roman" w:hAnsi="Century Gothic" w:cs="Times New Roman"/>
          <w:sz w:val="24"/>
          <w:szCs w:val="24"/>
          <w:lang w:eastAsia="lv-LV"/>
        </w:rPr>
        <w:t xml:space="preserve">un īstermiņa reitingu P-2, kas tika </w:t>
      </w:r>
      <w:proofErr w:type="spellStart"/>
      <w:r w:rsidRPr="001C3AF0">
        <w:rPr>
          <w:rFonts w:ascii="Century Gothic" w:eastAsia="Times New Roman" w:hAnsi="Century Gothic" w:cs="Times New Roman"/>
          <w:sz w:val="24"/>
          <w:szCs w:val="24"/>
          <w:lang w:eastAsia="lv-LV"/>
        </w:rPr>
        <w:t>pārapstiprināts</w:t>
      </w:r>
      <w:proofErr w:type="spellEnd"/>
      <w:r w:rsidRPr="001C3AF0">
        <w:rPr>
          <w:rFonts w:ascii="Century Gothic" w:eastAsia="Times New Roman" w:hAnsi="Century Gothic" w:cs="Times New Roman"/>
          <w:sz w:val="24"/>
          <w:szCs w:val="24"/>
          <w:lang w:eastAsia="lv-LV"/>
        </w:rPr>
        <w:t xml:space="preserve"> 2019. gada 25. martā. </w:t>
      </w:r>
      <w:proofErr w:type="spellStart"/>
      <w:r w:rsidRPr="001C3AF0">
        <w:rPr>
          <w:rFonts w:ascii="Century Gothic" w:eastAsia="Times New Roman" w:hAnsi="Century Gothic" w:cs="Times New Roman"/>
          <w:sz w:val="24"/>
          <w:szCs w:val="24"/>
          <w:lang w:eastAsia="lv-LV"/>
        </w:rPr>
        <w:t>Moody’s</w:t>
      </w:r>
      <w:proofErr w:type="spellEnd"/>
      <w:r w:rsidRPr="001C3AF0">
        <w:rPr>
          <w:rFonts w:ascii="Century Gothic" w:eastAsia="Times New Roman" w:hAnsi="Century Gothic" w:cs="Times New Roman"/>
          <w:sz w:val="24"/>
          <w:szCs w:val="24"/>
          <w:lang w:eastAsia="lv-LV"/>
        </w:rPr>
        <w:t xml:space="preserve"> ilgtermiņa kredītreitings Baa1 ALTUM ir viens no augstākajiem Latvijas kapitālsabiedrībām un kredītiestādēm piešķirtajiem. ALTUM kredītreitings stratēģijā ir plānots divas pakāpes zem Latvijas valstij piešķirtā reitinga (2021. gadā – A3) pēc </w:t>
      </w:r>
      <w:proofErr w:type="spellStart"/>
      <w:r w:rsidRPr="001C3AF0">
        <w:rPr>
          <w:rFonts w:ascii="Century Gothic" w:eastAsia="Times New Roman" w:hAnsi="Century Gothic" w:cs="Times New Roman"/>
          <w:sz w:val="24"/>
          <w:szCs w:val="24"/>
          <w:lang w:eastAsia="lv-LV"/>
        </w:rPr>
        <w:t>Moody's</w:t>
      </w:r>
      <w:proofErr w:type="spellEnd"/>
      <w:r w:rsidRPr="001C3AF0">
        <w:rPr>
          <w:rFonts w:ascii="Century Gothic" w:eastAsia="Times New Roman" w:hAnsi="Century Gothic" w:cs="Times New Roman"/>
          <w:sz w:val="24"/>
          <w:szCs w:val="24"/>
          <w:lang w:eastAsia="lv-LV"/>
        </w:rPr>
        <w:t xml:space="preserve"> novērtējuma. Sasniegtais rezultāts par 2021. gadu Baa1, kas ir vienu pakāpi zemāk par Latvijas valstij noteikto reitingu, ir labāks par plānoto. Augstais reitings ļauj sekmīgāk realizēt ALTUM ilgtermiņa stratēģiju finansējuma piesaistei, esot regulāram kapitāla tirgus dalībniekam un emitējot obligācijas. Līdz 2021. gada 31. decembrim kopējais ALTUM izlaisto obligāciju apjoms, kas tiek kotētas </w:t>
      </w:r>
      <w:proofErr w:type="spellStart"/>
      <w:r w:rsidRPr="001C3AF0">
        <w:rPr>
          <w:rFonts w:ascii="Century Gothic" w:eastAsia="Times New Roman" w:hAnsi="Century Gothic" w:cs="Times New Roman"/>
          <w:sz w:val="24"/>
          <w:szCs w:val="24"/>
          <w:lang w:eastAsia="lv-LV"/>
        </w:rPr>
        <w:t>Nasdaq</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Riga</w:t>
      </w:r>
      <w:proofErr w:type="spellEnd"/>
      <w:r w:rsidRPr="001C3AF0">
        <w:rPr>
          <w:rFonts w:ascii="Century Gothic" w:eastAsia="Times New Roman" w:hAnsi="Century Gothic" w:cs="Times New Roman"/>
          <w:sz w:val="24"/>
          <w:szCs w:val="24"/>
          <w:lang w:eastAsia="lv-LV"/>
        </w:rPr>
        <w:t xml:space="preserve"> biržā Baltijas vērtspapīru sarakstā, bija 85 milj. eiro. Turpinot ilgtermiņa dalību kapitāla tirgos, 2021. gada 1. oktobrī </w:t>
      </w:r>
      <w:proofErr w:type="spellStart"/>
      <w:r w:rsidRPr="001C3AF0">
        <w:rPr>
          <w:rFonts w:ascii="Century Gothic" w:eastAsia="Times New Roman" w:hAnsi="Century Gothic" w:cs="Times New Roman"/>
          <w:sz w:val="24"/>
          <w:szCs w:val="24"/>
          <w:lang w:eastAsia="lv-LV"/>
        </w:rPr>
        <w:t>Altum</w:t>
      </w:r>
      <w:proofErr w:type="spellEnd"/>
      <w:r w:rsidRPr="001C3AF0">
        <w:rPr>
          <w:rFonts w:ascii="Century Gothic" w:eastAsia="Times New Roman" w:hAnsi="Century Gothic" w:cs="Times New Roman"/>
          <w:sz w:val="24"/>
          <w:szCs w:val="24"/>
          <w:lang w:eastAsia="lv-LV"/>
        </w:rPr>
        <w:t xml:space="preserve"> trešās obligāciju emisijas programmas ietvaros emitēja 5 gadu obligācijas par kopējo summu 20 milj. EUR ar fiksētu gada procentu likmi 0.443% un ienesīgumu līdz dzēšanai 0.443%, kas ir labākie finanšu nosacījumi līdz šim īstenotajās emisijās. Baltijas investori par šo emisiju izrādīja būtisku interesi un parakstītais apjoms vairāk nekā 3 reizes pārsniedza emitēto apjomu. Obligācijas iegādājās 15 Baltijas institucionālie investori: 70% no kopējā apjoma iegādājās aktīvu pārvaldības fondi, 18% - bankas un 9% - apdrošināšanas sabiedrības. 2021. gada 2. pusgadā tika aktualizēts ALTUM Zaļo obligāciju ietvars, ņemot vērā 2021. gada jūnijā Starptautiskās Kapitāla tirgus asociācijas (ICMA) publicētos Zaļo un sociālo obligāciju principus. Lai nodrošinātu investoriem pārliecību, ka zaļo obligāciju finansējumu ALTUM ieguldīs videi draudzīgos projektos un nodrošinās noteiktu vides mērķu sasniegšanu, CICERO (Starptautiskais klimata un vides izpētes centrs/ </w:t>
      </w:r>
      <w:proofErr w:type="spellStart"/>
      <w:r w:rsidRPr="001C3AF0">
        <w:rPr>
          <w:rFonts w:ascii="Century Gothic" w:eastAsia="Times New Roman" w:hAnsi="Century Gothic" w:cs="Times New Roman"/>
          <w:sz w:val="24"/>
          <w:szCs w:val="24"/>
          <w:lang w:eastAsia="lv-LV"/>
        </w:rPr>
        <w:t>Center</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for</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International</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Climate</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and</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Environmental</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Research</w:t>
      </w:r>
      <w:proofErr w:type="spellEnd"/>
      <w:r w:rsidRPr="001C3AF0">
        <w:rPr>
          <w:rFonts w:ascii="Century Gothic" w:eastAsia="Times New Roman" w:hAnsi="Century Gothic" w:cs="Times New Roman"/>
          <w:sz w:val="24"/>
          <w:szCs w:val="24"/>
          <w:lang w:eastAsia="lv-LV"/>
        </w:rPr>
        <w:t xml:space="preserve">, Oslo) 2021. gada decembrī sniedza neatkarīgu atzinumu par aktualizēto ALTUM Zaļo obligāciju ietvaru un saņēma CICERO “Vidēji zaļo” vērtējumu, kas līdzvērtīgs iepriekš saņemtajam 2017. gadā. 2021. gada septembrī kā pirmais uzņēmums no Latvijas ALTUM ar savu zaļo obligāciju emisiju pievienojās </w:t>
      </w:r>
      <w:proofErr w:type="spellStart"/>
      <w:r w:rsidRPr="001C3AF0">
        <w:rPr>
          <w:rFonts w:ascii="Century Gothic" w:eastAsia="Times New Roman" w:hAnsi="Century Gothic" w:cs="Times New Roman"/>
          <w:sz w:val="24"/>
          <w:szCs w:val="24"/>
          <w:lang w:eastAsia="lv-LV"/>
        </w:rPr>
        <w:t>Nasdaq</w:t>
      </w:r>
      <w:proofErr w:type="spellEnd"/>
      <w:r w:rsidRPr="001C3AF0">
        <w:rPr>
          <w:rFonts w:ascii="Century Gothic" w:eastAsia="Times New Roman" w:hAnsi="Century Gothic" w:cs="Times New Roman"/>
          <w:sz w:val="24"/>
          <w:szCs w:val="24"/>
          <w:lang w:eastAsia="lv-LV"/>
        </w:rPr>
        <w:t xml:space="preserve"> </w:t>
      </w:r>
      <w:proofErr w:type="spellStart"/>
      <w:r w:rsidRPr="001C3AF0">
        <w:rPr>
          <w:rFonts w:ascii="Century Gothic" w:eastAsia="Times New Roman" w:hAnsi="Century Gothic" w:cs="Times New Roman"/>
          <w:sz w:val="24"/>
          <w:szCs w:val="24"/>
          <w:lang w:eastAsia="lv-LV"/>
        </w:rPr>
        <w:t>Sustainable</w:t>
      </w:r>
      <w:proofErr w:type="spellEnd"/>
      <w:r w:rsidRPr="001C3AF0">
        <w:rPr>
          <w:rFonts w:ascii="Century Gothic" w:eastAsia="Times New Roman" w:hAnsi="Century Gothic" w:cs="Times New Roman"/>
          <w:sz w:val="24"/>
          <w:szCs w:val="24"/>
          <w:lang w:eastAsia="lv-LV"/>
        </w:rPr>
        <w:t xml:space="preserve"> Bond </w:t>
      </w:r>
      <w:proofErr w:type="spellStart"/>
      <w:r w:rsidRPr="001C3AF0">
        <w:rPr>
          <w:rFonts w:ascii="Century Gothic" w:eastAsia="Times New Roman" w:hAnsi="Century Gothic" w:cs="Times New Roman"/>
          <w:sz w:val="24"/>
          <w:szCs w:val="24"/>
          <w:lang w:eastAsia="lv-LV"/>
        </w:rPr>
        <w:t>Network</w:t>
      </w:r>
      <w:proofErr w:type="spellEnd"/>
      <w:r w:rsidRPr="001C3AF0">
        <w:rPr>
          <w:rFonts w:ascii="Century Gothic" w:eastAsia="Times New Roman" w:hAnsi="Century Gothic" w:cs="Times New Roman"/>
          <w:sz w:val="24"/>
          <w:szCs w:val="24"/>
          <w:lang w:eastAsia="lv-LV"/>
        </w:rPr>
        <w:t xml:space="preserve"> pasaulē. </w:t>
      </w:r>
    </w:p>
    <w:p w14:paraId="14990B3C" w14:textId="77777777" w:rsidR="001C3AF0" w:rsidRPr="001C3AF0" w:rsidRDefault="001C3AF0" w:rsidP="001C3AF0">
      <w:pPr>
        <w:numPr>
          <w:ilvl w:val="0"/>
          <w:numId w:val="1"/>
        </w:numPr>
        <w:spacing w:before="120" w:after="0" w:line="276" w:lineRule="auto"/>
        <w:ind w:left="357" w:hanging="357"/>
        <w:jc w:val="both"/>
        <w:rPr>
          <w:rFonts w:ascii="Century Gothic" w:hAnsi="Century Gothic" w:cs="Times New Roman"/>
          <w:sz w:val="24"/>
          <w:szCs w:val="24"/>
          <w:u w:val="single"/>
          <w:lang w:eastAsia="lv-LV"/>
        </w:rPr>
      </w:pPr>
      <w:proofErr w:type="spellStart"/>
      <w:r w:rsidRPr="001C3AF0">
        <w:rPr>
          <w:rFonts w:ascii="Century Gothic" w:eastAsia="Times New Roman" w:hAnsi="Century Gothic" w:cs="Times New Roman"/>
          <w:sz w:val="24"/>
          <w:szCs w:val="24"/>
          <w:u w:val="single"/>
          <w:lang w:eastAsia="lv-LV"/>
        </w:rPr>
        <w:t>Nefinanšu</w:t>
      </w:r>
      <w:proofErr w:type="spellEnd"/>
      <w:r w:rsidRPr="001C3AF0">
        <w:rPr>
          <w:rFonts w:ascii="Century Gothic" w:eastAsia="Times New Roman" w:hAnsi="Century Gothic" w:cs="Times New Roman"/>
          <w:sz w:val="24"/>
          <w:szCs w:val="24"/>
          <w:u w:val="single"/>
          <w:lang w:eastAsia="lv-LV"/>
        </w:rPr>
        <w:t xml:space="preserve"> mērķis Nr. 4. ALTUM jauno darījumu iniciētais ieguldījums tautsaimniecībā gadā, milj. EUR. </w:t>
      </w:r>
    </w:p>
    <w:p w14:paraId="4E50AB2D" w14:textId="77777777" w:rsidR="001C3AF0" w:rsidRPr="001C3AF0" w:rsidRDefault="001C3AF0" w:rsidP="001C3AF0">
      <w:pPr>
        <w:spacing w:after="0" w:line="276" w:lineRule="auto"/>
        <w:ind w:left="357"/>
        <w:jc w:val="both"/>
        <w:rPr>
          <w:rFonts w:ascii="Century Gothic" w:hAnsi="Century Gothic" w:cs="Times New Roman"/>
          <w:sz w:val="24"/>
          <w:szCs w:val="24"/>
          <w:lang w:eastAsia="lv-LV"/>
        </w:rPr>
      </w:pPr>
      <w:r w:rsidRPr="001C3AF0">
        <w:rPr>
          <w:rFonts w:ascii="Century Gothic" w:hAnsi="Century Gothic" w:cs="Times New Roman"/>
          <w:sz w:val="24"/>
          <w:szCs w:val="24"/>
          <w:lang w:eastAsia="lv-LV"/>
        </w:rPr>
        <w:t xml:space="preserve">Ņemot vērā citu kreditoru finansējumu un projektu īstenotāju pašu līdzfinansējumu, 2021. gadā ALTUM veicinājis 792 milj. EUR ieguldīšanu tautsaimniecībā, kas ir par 1% (5 milj. EUR) vairāk salīdzinot ar plānoto. </w:t>
      </w:r>
    </w:p>
    <w:p w14:paraId="07C3C7E6" w14:textId="77777777" w:rsidR="001C3AF0" w:rsidRPr="001C3AF0" w:rsidRDefault="001C3AF0" w:rsidP="001C3AF0">
      <w:pPr>
        <w:numPr>
          <w:ilvl w:val="0"/>
          <w:numId w:val="1"/>
        </w:numPr>
        <w:spacing w:before="120" w:after="0" w:line="276" w:lineRule="auto"/>
        <w:ind w:left="357" w:hanging="357"/>
        <w:jc w:val="both"/>
        <w:rPr>
          <w:rFonts w:ascii="Century Gothic" w:hAnsi="Century Gothic" w:cs="Times New Roman"/>
          <w:sz w:val="24"/>
          <w:szCs w:val="24"/>
          <w:u w:val="single"/>
          <w:lang w:eastAsia="lv-LV"/>
        </w:rPr>
      </w:pPr>
      <w:proofErr w:type="spellStart"/>
      <w:r w:rsidRPr="001C3AF0">
        <w:rPr>
          <w:rFonts w:ascii="Century Gothic" w:eastAsia="Times New Roman" w:hAnsi="Century Gothic" w:cs="Times New Roman"/>
          <w:sz w:val="24"/>
          <w:szCs w:val="24"/>
          <w:u w:val="single"/>
          <w:lang w:eastAsia="lv-LV"/>
        </w:rPr>
        <w:lastRenderedPageBreak/>
        <w:t>Nefinanšu</w:t>
      </w:r>
      <w:proofErr w:type="spellEnd"/>
      <w:r w:rsidRPr="001C3AF0">
        <w:rPr>
          <w:rFonts w:ascii="Century Gothic" w:eastAsia="Times New Roman" w:hAnsi="Century Gothic" w:cs="Times New Roman"/>
          <w:sz w:val="24"/>
          <w:szCs w:val="24"/>
          <w:u w:val="single"/>
          <w:lang w:eastAsia="lv-LV"/>
        </w:rPr>
        <w:t xml:space="preserve"> mērķis Nr. 5. Valsts atbalsta programmu apjoms uz 1 darbinieku, milj. EUR (bez </w:t>
      </w:r>
      <w:proofErr w:type="spellStart"/>
      <w:r w:rsidRPr="001C3AF0">
        <w:rPr>
          <w:rFonts w:ascii="Century Gothic" w:eastAsia="Times New Roman" w:hAnsi="Century Gothic" w:cs="Times New Roman"/>
          <w:sz w:val="24"/>
          <w:szCs w:val="24"/>
          <w:u w:val="single"/>
          <w:lang w:eastAsia="lv-LV"/>
        </w:rPr>
        <w:t>grantiem</w:t>
      </w:r>
      <w:proofErr w:type="spellEnd"/>
      <w:r w:rsidRPr="001C3AF0">
        <w:rPr>
          <w:rFonts w:ascii="Century Gothic" w:eastAsia="Times New Roman" w:hAnsi="Century Gothic" w:cs="Times New Roman"/>
          <w:sz w:val="24"/>
          <w:szCs w:val="24"/>
          <w:u w:val="single"/>
          <w:lang w:eastAsia="lv-LV"/>
        </w:rPr>
        <w:t xml:space="preserve">). </w:t>
      </w:r>
    </w:p>
    <w:p w14:paraId="7CD88144" w14:textId="77777777" w:rsidR="001C3AF0" w:rsidRPr="001C3AF0" w:rsidRDefault="001C3AF0" w:rsidP="001C3AF0">
      <w:pPr>
        <w:spacing w:after="0" w:line="276" w:lineRule="auto"/>
        <w:ind w:left="357"/>
        <w:jc w:val="both"/>
        <w:rPr>
          <w:rFonts w:ascii="Century Gothic" w:hAnsi="Century Gothic" w:cs="Times New Roman"/>
          <w:sz w:val="24"/>
          <w:szCs w:val="24"/>
          <w:lang w:eastAsia="lv-LV"/>
        </w:rPr>
      </w:pPr>
      <w:r w:rsidRPr="001C3AF0">
        <w:rPr>
          <w:rFonts w:ascii="Century Gothic" w:hAnsi="Century Gothic" w:cs="Times New Roman"/>
          <w:sz w:val="24"/>
          <w:szCs w:val="24"/>
          <w:lang w:eastAsia="lv-LV"/>
        </w:rPr>
        <w:t xml:space="preserve">Valsts atbalsta programmu (bez </w:t>
      </w:r>
      <w:proofErr w:type="spellStart"/>
      <w:r w:rsidRPr="001C3AF0">
        <w:rPr>
          <w:rFonts w:ascii="Century Gothic" w:hAnsi="Century Gothic" w:cs="Times New Roman"/>
          <w:sz w:val="24"/>
          <w:szCs w:val="24"/>
          <w:lang w:eastAsia="lv-LV"/>
        </w:rPr>
        <w:t>grantiem</w:t>
      </w:r>
      <w:proofErr w:type="spellEnd"/>
      <w:r w:rsidRPr="001C3AF0">
        <w:rPr>
          <w:rFonts w:ascii="Century Gothic" w:hAnsi="Century Gothic" w:cs="Times New Roman"/>
          <w:sz w:val="24"/>
          <w:szCs w:val="24"/>
          <w:lang w:eastAsia="lv-LV"/>
        </w:rPr>
        <w:t xml:space="preserve">) apjoms uz 1 darbinieku 2021. gada beigās bija 4.0 milj. EUR, kas ir 3% (0.1 milj. EUR) vairāk par plānoto rādītāju. Pret 2020. gadu rādītājs pieauga par 5% (0.2 milj. EUR uz 1 darbinieku). </w:t>
      </w:r>
    </w:p>
    <w:p w14:paraId="18E40F2F" w14:textId="77777777" w:rsidR="001C3AF0" w:rsidRPr="001C3AF0" w:rsidRDefault="001C3AF0" w:rsidP="001C3AF0">
      <w:pPr>
        <w:numPr>
          <w:ilvl w:val="0"/>
          <w:numId w:val="1"/>
        </w:numPr>
        <w:spacing w:before="120" w:after="0" w:line="276" w:lineRule="auto"/>
        <w:ind w:left="357" w:hanging="357"/>
        <w:jc w:val="both"/>
        <w:rPr>
          <w:rFonts w:ascii="Century Gothic" w:hAnsi="Century Gothic" w:cs="Times New Roman"/>
          <w:sz w:val="24"/>
          <w:szCs w:val="24"/>
          <w:u w:val="single"/>
          <w:lang w:eastAsia="lv-LV"/>
        </w:rPr>
      </w:pPr>
      <w:proofErr w:type="spellStart"/>
      <w:r w:rsidRPr="001C3AF0">
        <w:rPr>
          <w:rFonts w:ascii="Century Gothic" w:eastAsia="Times New Roman" w:hAnsi="Century Gothic" w:cs="Times New Roman"/>
          <w:sz w:val="24"/>
          <w:szCs w:val="24"/>
          <w:u w:val="single"/>
          <w:lang w:eastAsia="lv-LV"/>
        </w:rPr>
        <w:t>Nefinanšu</w:t>
      </w:r>
      <w:proofErr w:type="spellEnd"/>
      <w:r w:rsidRPr="001C3AF0">
        <w:rPr>
          <w:rFonts w:ascii="Century Gothic" w:eastAsia="Times New Roman" w:hAnsi="Century Gothic" w:cs="Times New Roman"/>
          <w:sz w:val="24"/>
          <w:szCs w:val="24"/>
          <w:u w:val="single"/>
          <w:lang w:eastAsia="lv-LV"/>
        </w:rPr>
        <w:t xml:space="preserve"> mērķis Nr. 6. Darbinieku mainība, %. </w:t>
      </w:r>
    </w:p>
    <w:p w14:paraId="00272CC2" w14:textId="77777777" w:rsidR="001C3AF0" w:rsidRPr="001C3AF0" w:rsidRDefault="001C3AF0" w:rsidP="001C3AF0">
      <w:pPr>
        <w:spacing w:after="0" w:line="276" w:lineRule="auto"/>
        <w:ind w:left="357"/>
        <w:jc w:val="both"/>
        <w:rPr>
          <w:rFonts w:ascii="Century Gothic" w:hAnsi="Century Gothic" w:cs="Times New Roman"/>
          <w:sz w:val="24"/>
          <w:szCs w:val="24"/>
          <w:lang w:eastAsia="lv-LV"/>
        </w:rPr>
      </w:pPr>
      <w:r w:rsidRPr="001C3AF0">
        <w:rPr>
          <w:rFonts w:ascii="Century Gothic" w:hAnsi="Century Gothic" w:cs="Times New Roman"/>
          <w:sz w:val="24"/>
          <w:szCs w:val="24"/>
          <w:lang w:eastAsia="lv-LV"/>
        </w:rPr>
        <w:t xml:space="preserve">2021. gadā darbinieku mainība sabiedrībā bija 7%, izpildot stratēģijā noteikto rādītāju – ne vairāk par 10%. Mazāka darbinieku mainība sekmē ALTUM vidēja termiņa stratēģijā noteikto sabiedrības mērķu sasniegšanu. </w:t>
      </w:r>
    </w:p>
    <w:p w14:paraId="79ECC82B" w14:textId="77777777" w:rsidR="001C3AF0" w:rsidRPr="001C3AF0" w:rsidRDefault="001C3AF0" w:rsidP="001C3AF0">
      <w:pPr>
        <w:numPr>
          <w:ilvl w:val="0"/>
          <w:numId w:val="1"/>
        </w:numPr>
        <w:spacing w:before="120" w:after="0" w:line="276" w:lineRule="auto"/>
        <w:ind w:left="357" w:hanging="357"/>
        <w:jc w:val="both"/>
        <w:rPr>
          <w:rFonts w:ascii="Century Gothic" w:hAnsi="Century Gothic" w:cs="Times New Roman"/>
          <w:sz w:val="24"/>
          <w:szCs w:val="24"/>
          <w:u w:val="single"/>
          <w:lang w:eastAsia="lv-LV"/>
        </w:rPr>
      </w:pPr>
      <w:proofErr w:type="spellStart"/>
      <w:r w:rsidRPr="001C3AF0">
        <w:rPr>
          <w:rFonts w:ascii="Century Gothic" w:eastAsia="Times New Roman" w:hAnsi="Century Gothic" w:cs="Times New Roman"/>
          <w:sz w:val="24"/>
          <w:szCs w:val="24"/>
          <w:u w:val="single"/>
          <w:lang w:eastAsia="lv-LV"/>
        </w:rPr>
        <w:t>Nefinanšu</w:t>
      </w:r>
      <w:proofErr w:type="spellEnd"/>
      <w:r w:rsidRPr="001C3AF0">
        <w:rPr>
          <w:rFonts w:ascii="Century Gothic" w:eastAsia="Times New Roman" w:hAnsi="Century Gothic" w:cs="Times New Roman"/>
          <w:sz w:val="24"/>
          <w:szCs w:val="24"/>
          <w:u w:val="single"/>
          <w:lang w:eastAsia="lv-LV"/>
        </w:rPr>
        <w:t xml:space="preserve"> mērķis Nr. 7. Apmācīto darbinieku skaits gadā, %. </w:t>
      </w:r>
    </w:p>
    <w:p w14:paraId="0BC81495" w14:textId="77777777" w:rsidR="001C3AF0" w:rsidRPr="001C3AF0" w:rsidRDefault="001C3AF0" w:rsidP="001C3AF0">
      <w:pPr>
        <w:spacing w:after="0" w:line="276" w:lineRule="auto"/>
        <w:ind w:left="357"/>
        <w:jc w:val="both"/>
        <w:rPr>
          <w:rFonts w:ascii="Century Gothic" w:hAnsi="Century Gothic" w:cs="Times New Roman"/>
          <w:sz w:val="24"/>
          <w:szCs w:val="24"/>
          <w:lang w:eastAsia="lv-LV"/>
        </w:rPr>
      </w:pPr>
      <w:r w:rsidRPr="001C3AF0">
        <w:rPr>
          <w:rFonts w:ascii="Century Gothic" w:hAnsi="Century Gothic" w:cs="Times New Roman"/>
          <w:sz w:val="24"/>
          <w:szCs w:val="24"/>
          <w:lang w:eastAsia="lv-LV"/>
        </w:rPr>
        <w:t xml:space="preserve">Apmācīto darbinieku skaits 2021. gadā sasniedza 96%, pārsniedzot stratēģijā plānoto rādītāju – vismaz 60%. Lielāks apmācīto darbinieku skaits sekmē ALTUM vidēja termiņa stratēģijā noteikto sabiedrības mērķu sasniegšanu. </w:t>
      </w:r>
    </w:p>
    <w:p w14:paraId="63D9461F" w14:textId="6BFE1CE2" w:rsidR="00B83E25" w:rsidRPr="0016623C" w:rsidRDefault="00B83E25" w:rsidP="001C3AF0">
      <w:pPr>
        <w:rPr>
          <w:rFonts w:ascii="Century Gothic" w:hAnsi="Century Gothic"/>
          <w:sz w:val="24"/>
          <w:szCs w:val="24"/>
        </w:rPr>
      </w:pPr>
    </w:p>
    <w:p w14:paraId="4E520552" w14:textId="16253E3D" w:rsidR="00083D93" w:rsidRPr="00E354F3" w:rsidRDefault="00CD5919" w:rsidP="00524DD9">
      <w:pPr>
        <w:spacing w:before="240"/>
        <w:rPr>
          <w:rFonts w:ascii="Century Gothic" w:eastAsia="Calibri" w:hAnsi="Century Gothic" w:cs="Times New Roman"/>
          <w:b/>
          <w:sz w:val="24"/>
          <w:szCs w:val="24"/>
        </w:rPr>
      </w:pPr>
      <w:r>
        <w:rPr>
          <w:rFonts w:ascii="Century Gothic" w:eastAsia="Calibri" w:hAnsi="Century Gothic" w:cs="Times New Roman"/>
          <w:b/>
          <w:sz w:val="24"/>
          <w:szCs w:val="24"/>
        </w:rPr>
        <w:t>3</w:t>
      </w:r>
      <w:r w:rsidR="00083D93" w:rsidRPr="0016623C">
        <w:rPr>
          <w:rFonts w:ascii="Century Gothic" w:eastAsia="Calibri" w:hAnsi="Century Gothic" w:cs="Times New Roman"/>
          <w:b/>
          <w:sz w:val="24"/>
          <w:szCs w:val="24"/>
        </w:rPr>
        <w:t>. Finanšu rādīt</w:t>
      </w:r>
      <w:r w:rsidR="00B75F7D" w:rsidRPr="0016623C">
        <w:rPr>
          <w:rFonts w:ascii="Century Gothic" w:eastAsia="Calibri" w:hAnsi="Century Gothic" w:cs="Times New Roman"/>
          <w:b/>
          <w:sz w:val="24"/>
          <w:szCs w:val="24"/>
        </w:rPr>
        <w:t>ā</w:t>
      </w:r>
      <w:r w:rsidR="00083D93" w:rsidRPr="0016623C">
        <w:rPr>
          <w:rFonts w:ascii="Century Gothic" w:eastAsia="Calibri" w:hAnsi="Century Gothic" w:cs="Times New Roman"/>
          <w:b/>
          <w:sz w:val="24"/>
          <w:szCs w:val="24"/>
        </w:rPr>
        <w:t xml:space="preserve">ji </w:t>
      </w:r>
      <w:r w:rsidR="00A473FA" w:rsidRPr="0016623C">
        <w:rPr>
          <w:rFonts w:ascii="Century Gothic" w:eastAsia="Calibri" w:hAnsi="Century Gothic" w:cs="Times New Roman"/>
          <w:b/>
          <w:sz w:val="24"/>
          <w:szCs w:val="24"/>
        </w:rPr>
        <w:t>(pret darbības plānā un budžetā plānotajiem rādītājiem)</w:t>
      </w:r>
      <w:r w:rsidR="00A473FA">
        <w:rPr>
          <w:rFonts w:ascii="Century Gothic" w:eastAsia="Calibri" w:hAnsi="Century Gothic" w:cs="Times New Roman"/>
          <w:b/>
          <w:sz w:val="24"/>
          <w:szCs w:val="24"/>
        </w:rPr>
        <w:t xml:space="preserve"> </w:t>
      </w:r>
    </w:p>
    <w:tbl>
      <w:tblPr>
        <w:tblW w:w="10720" w:type="dxa"/>
        <w:tblLook w:val="04A0" w:firstRow="1" w:lastRow="0" w:firstColumn="1" w:lastColumn="0" w:noHBand="0" w:noVBand="1"/>
      </w:tblPr>
      <w:tblGrid>
        <w:gridCol w:w="3760"/>
        <w:gridCol w:w="1260"/>
        <w:gridCol w:w="1660"/>
        <w:gridCol w:w="1800"/>
        <w:gridCol w:w="1220"/>
        <w:gridCol w:w="1020"/>
      </w:tblGrid>
      <w:tr w:rsidR="00B67703" w:rsidRPr="00B67703" w14:paraId="10868513" w14:textId="77777777" w:rsidTr="00B67703">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472FDA" w14:textId="77777777" w:rsidR="00B67703" w:rsidRPr="00B67703" w:rsidRDefault="00B67703" w:rsidP="00B67703">
            <w:pPr>
              <w:spacing w:after="0" w:line="240" w:lineRule="auto"/>
              <w:jc w:val="center"/>
              <w:rPr>
                <w:rFonts w:ascii="Century Gothic" w:eastAsia="Times New Roman" w:hAnsi="Century Gothic" w:cs="Times New Roman"/>
                <w:b/>
                <w:bCs/>
                <w:sz w:val="20"/>
                <w:szCs w:val="20"/>
                <w:lang w:eastAsia="lv-LV"/>
              </w:rPr>
            </w:pPr>
            <w:r w:rsidRPr="00B67703">
              <w:rPr>
                <w:rFonts w:ascii="Century Gothic" w:eastAsia="Times New Roman" w:hAnsi="Century Gothic" w:cs="Times New Roman"/>
                <w:b/>
                <w:bCs/>
                <w:sz w:val="20"/>
                <w:szCs w:val="20"/>
                <w:lang w:eastAsia="lv-LV"/>
              </w:rPr>
              <w:t>Rādītāji</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14:paraId="5603A9DE" w14:textId="77777777" w:rsidR="00B67703" w:rsidRPr="00B67703" w:rsidRDefault="00B67703" w:rsidP="00B67703">
            <w:pPr>
              <w:spacing w:after="0" w:line="240" w:lineRule="auto"/>
              <w:jc w:val="center"/>
              <w:rPr>
                <w:rFonts w:ascii="Century Gothic" w:eastAsia="Times New Roman" w:hAnsi="Century Gothic" w:cs="Times New Roman"/>
                <w:b/>
                <w:bCs/>
                <w:color w:val="000000"/>
                <w:sz w:val="18"/>
                <w:szCs w:val="18"/>
                <w:lang w:eastAsia="lv-LV"/>
              </w:rPr>
            </w:pPr>
            <w:r w:rsidRPr="00B67703">
              <w:rPr>
                <w:rFonts w:ascii="Century Gothic" w:eastAsia="Times New Roman" w:hAnsi="Century Gothic" w:cs="Times New Roman"/>
                <w:b/>
                <w:bCs/>
                <w:color w:val="000000"/>
                <w:sz w:val="18"/>
                <w:szCs w:val="18"/>
                <w:lang w:eastAsia="lv-LV"/>
              </w:rPr>
              <w:t>Fakts         2020.gadā</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65988429" w14:textId="77777777" w:rsidR="00B67703" w:rsidRPr="00B67703" w:rsidRDefault="00B67703" w:rsidP="00B67703">
            <w:pPr>
              <w:spacing w:after="0" w:line="240" w:lineRule="auto"/>
              <w:jc w:val="center"/>
              <w:rPr>
                <w:rFonts w:ascii="Century Gothic" w:eastAsia="Times New Roman" w:hAnsi="Century Gothic" w:cs="Times New Roman"/>
                <w:b/>
                <w:bCs/>
                <w:color w:val="000000"/>
                <w:sz w:val="18"/>
                <w:szCs w:val="18"/>
                <w:lang w:eastAsia="lv-LV"/>
              </w:rPr>
            </w:pPr>
            <w:r w:rsidRPr="00B67703">
              <w:rPr>
                <w:rFonts w:ascii="Century Gothic" w:eastAsia="Times New Roman" w:hAnsi="Century Gothic" w:cs="Times New Roman"/>
                <w:b/>
                <w:bCs/>
                <w:color w:val="000000"/>
                <w:sz w:val="18"/>
                <w:szCs w:val="18"/>
                <w:lang w:eastAsia="lv-LV"/>
              </w:rPr>
              <w:t>Plānotais 2021.gadā</w:t>
            </w:r>
          </w:p>
        </w:tc>
        <w:tc>
          <w:tcPr>
            <w:tcW w:w="1800" w:type="dxa"/>
            <w:tcBorders>
              <w:top w:val="single" w:sz="4" w:space="0" w:color="auto"/>
              <w:left w:val="nil"/>
              <w:bottom w:val="single" w:sz="4" w:space="0" w:color="auto"/>
              <w:right w:val="single" w:sz="4" w:space="0" w:color="auto"/>
            </w:tcBorders>
            <w:shd w:val="clear" w:color="000000" w:fill="F2F2F2"/>
            <w:vAlign w:val="center"/>
            <w:hideMark/>
          </w:tcPr>
          <w:p w14:paraId="271302EB" w14:textId="77777777" w:rsidR="00B67703" w:rsidRPr="00B67703" w:rsidRDefault="00B67703" w:rsidP="00B67703">
            <w:pPr>
              <w:spacing w:after="0" w:line="240" w:lineRule="auto"/>
              <w:jc w:val="center"/>
              <w:rPr>
                <w:rFonts w:ascii="Century Gothic" w:eastAsia="Times New Roman" w:hAnsi="Century Gothic" w:cs="Times New Roman"/>
                <w:b/>
                <w:bCs/>
                <w:color w:val="000000"/>
                <w:sz w:val="18"/>
                <w:szCs w:val="18"/>
                <w:lang w:eastAsia="lv-LV"/>
              </w:rPr>
            </w:pPr>
            <w:r w:rsidRPr="00B67703">
              <w:rPr>
                <w:rFonts w:ascii="Century Gothic" w:eastAsia="Times New Roman" w:hAnsi="Century Gothic" w:cs="Times New Roman"/>
                <w:b/>
                <w:bCs/>
                <w:color w:val="000000"/>
                <w:sz w:val="18"/>
                <w:szCs w:val="18"/>
                <w:lang w:eastAsia="lv-LV"/>
              </w:rPr>
              <w:t>Fakts 2021.gadā</w:t>
            </w:r>
          </w:p>
        </w:tc>
        <w:tc>
          <w:tcPr>
            <w:tcW w:w="1220" w:type="dxa"/>
            <w:tcBorders>
              <w:top w:val="single" w:sz="4" w:space="0" w:color="auto"/>
              <w:left w:val="nil"/>
              <w:bottom w:val="single" w:sz="4" w:space="0" w:color="auto"/>
              <w:right w:val="single" w:sz="4" w:space="0" w:color="auto"/>
            </w:tcBorders>
            <w:shd w:val="clear" w:color="000000" w:fill="F2F2F2"/>
            <w:vAlign w:val="center"/>
            <w:hideMark/>
          </w:tcPr>
          <w:p w14:paraId="1F63CC09" w14:textId="77777777" w:rsidR="00B67703" w:rsidRPr="00B67703" w:rsidRDefault="00B67703" w:rsidP="00B67703">
            <w:pPr>
              <w:spacing w:after="0" w:line="240" w:lineRule="auto"/>
              <w:jc w:val="center"/>
              <w:rPr>
                <w:rFonts w:ascii="Century Gothic" w:eastAsia="Times New Roman" w:hAnsi="Century Gothic" w:cs="Times New Roman"/>
                <w:b/>
                <w:bCs/>
                <w:color w:val="000000"/>
                <w:sz w:val="18"/>
                <w:szCs w:val="18"/>
                <w:lang w:eastAsia="lv-LV"/>
              </w:rPr>
            </w:pPr>
            <w:r w:rsidRPr="00B67703">
              <w:rPr>
                <w:rFonts w:ascii="Century Gothic" w:eastAsia="Times New Roman" w:hAnsi="Century Gothic" w:cs="Times New Roman"/>
                <w:b/>
                <w:bCs/>
                <w:color w:val="000000"/>
                <w:sz w:val="18"/>
                <w:szCs w:val="18"/>
                <w:lang w:eastAsia="lv-LV"/>
              </w:rPr>
              <w:t>Novirze  no plānotā</w:t>
            </w:r>
          </w:p>
        </w:tc>
        <w:tc>
          <w:tcPr>
            <w:tcW w:w="1020" w:type="dxa"/>
            <w:tcBorders>
              <w:top w:val="single" w:sz="4" w:space="0" w:color="auto"/>
              <w:left w:val="nil"/>
              <w:bottom w:val="single" w:sz="4" w:space="0" w:color="auto"/>
              <w:right w:val="single" w:sz="4" w:space="0" w:color="auto"/>
            </w:tcBorders>
            <w:shd w:val="clear" w:color="000000" w:fill="F2F2F2"/>
            <w:vAlign w:val="center"/>
            <w:hideMark/>
          </w:tcPr>
          <w:p w14:paraId="529746DE" w14:textId="77777777" w:rsidR="00B67703" w:rsidRPr="00B67703" w:rsidRDefault="00B67703" w:rsidP="00B67703">
            <w:pPr>
              <w:spacing w:after="0" w:line="240" w:lineRule="auto"/>
              <w:jc w:val="center"/>
              <w:rPr>
                <w:rFonts w:ascii="Century Gothic" w:eastAsia="Times New Roman" w:hAnsi="Century Gothic" w:cs="Times New Roman"/>
                <w:b/>
                <w:bCs/>
                <w:color w:val="000000"/>
                <w:sz w:val="18"/>
                <w:szCs w:val="18"/>
                <w:lang w:eastAsia="lv-LV"/>
              </w:rPr>
            </w:pPr>
            <w:r w:rsidRPr="00B67703">
              <w:rPr>
                <w:rFonts w:ascii="Century Gothic" w:eastAsia="Times New Roman" w:hAnsi="Century Gothic" w:cs="Times New Roman"/>
                <w:b/>
                <w:bCs/>
                <w:color w:val="000000"/>
                <w:sz w:val="18"/>
                <w:szCs w:val="18"/>
                <w:lang w:eastAsia="lv-LV"/>
              </w:rPr>
              <w:t>Novirze  no plānotā, %</w:t>
            </w:r>
          </w:p>
        </w:tc>
      </w:tr>
      <w:tr w:rsidR="00B67703" w:rsidRPr="00B67703" w14:paraId="76C46745" w14:textId="77777777" w:rsidTr="00B67703">
        <w:trPr>
          <w:trHeight w:val="368"/>
        </w:trPr>
        <w:tc>
          <w:tcPr>
            <w:tcW w:w="3760" w:type="dxa"/>
            <w:tcBorders>
              <w:top w:val="nil"/>
              <w:left w:val="single" w:sz="4" w:space="0" w:color="auto"/>
              <w:bottom w:val="single" w:sz="4" w:space="0" w:color="auto"/>
              <w:right w:val="single" w:sz="4" w:space="0" w:color="auto"/>
            </w:tcBorders>
            <w:shd w:val="clear" w:color="auto" w:fill="auto"/>
            <w:hideMark/>
          </w:tcPr>
          <w:p w14:paraId="13ABD5E3"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neto apgrozījums, EUR</w:t>
            </w:r>
          </w:p>
        </w:tc>
        <w:tc>
          <w:tcPr>
            <w:tcW w:w="1260" w:type="dxa"/>
            <w:tcBorders>
              <w:top w:val="nil"/>
              <w:left w:val="nil"/>
              <w:bottom w:val="single" w:sz="4" w:space="0" w:color="auto"/>
              <w:right w:val="single" w:sz="4" w:space="0" w:color="auto"/>
            </w:tcBorders>
            <w:shd w:val="clear" w:color="auto" w:fill="auto"/>
            <w:noWrap/>
            <w:hideMark/>
          </w:tcPr>
          <w:p w14:paraId="423930D8"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22 574 000</w:t>
            </w:r>
          </w:p>
        </w:tc>
        <w:tc>
          <w:tcPr>
            <w:tcW w:w="1660" w:type="dxa"/>
            <w:tcBorders>
              <w:top w:val="nil"/>
              <w:left w:val="nil"/>
              <w:bottom w:val="single" w:sz="4" w:space="0" w:color="auto"/>
              <w:right w:val="single" w:sz="4" w:space="0" w:color="auto"/>
            </w:tcBorders>
            <w:shd w:val="clear" w:color="000000" w:fill="FFFFFF"/>
            <w:noWrap/>
            <w:hideMark/>
          </w:tcPr>
          <w:p w14:paraId="27139DF8"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21 880 000</w:t>
            </w:r>
          </w:p>
        </w:tc>
        <w:tc>
          <w:tcPr>
            <w:tcW w:w="1800" w:type="dxa"/>
            <w:tcBorders>
              <w:top w:val="nil"/>
              <w:left w:val="nil"/>
              <w:bottom w:val="single" w:sz="4" w:space="0" w:color="auto"/>
              <w:right w:val="single" w:sz="4" w:space="0" w:color="auto"/>
            </w:tcBorders>
            <w:shd w:val="clear" w:color="000000" w:fill="FFFFFF"/>
            <w:noWrap/>
            <w:hideMark/>
          </w:tcPr>
          <w:p w14:paraId="36A00238"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24 813 000</w:t>
            </w:r>
          </w:p>
        </w:tc>
        <w:tc>
          <w:tcPr>
            <w:tcW w:w="1220" w:type="dxa"/>
            <w:tcBorders>
              <w:top w:val="nil"/>
              <w:left w:val="nil"/>
              <w:bottom w:val="single" w:sz="4" w:space="0" w:color="auto"/>
              <w:right w:val="single" w:sz="4" w:space="0" w:color="auto"/>
            </w:tcBorders>
            <w:shd w:val="clear" w:color="000000" w:fill="FFFFFF"/>
            <w:noWrap/>
            <w:hideMark/>
          </w:tcPr>
          <w:p w14:paraId="3381F0FE"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2 933 000</w:t>
            </w:r>
          </w:p>
        </w:tc>
        <w:tc>
          <w:tcPr>
            <w:tcW w:w="1020" w:type="dxa"/>
            <w:tcBorders>
              <w:top w:val="nil"/>
              <w:left w:val="nil"/>
              <w:bottom w:val="single" w:sz="4" w:space="0" w:color="auto"/>
              <w:right w:val="single" w:sz="4" w:space="0" w:color="auto"/>
            </w:tcBorders>
            <w:shd w:val="clear" w:color="000000" w:fill="FFFFFF"/>
            <w:hideMark/>
          </w:tcPr>
          <w:p w14:paraId="1B07012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13%</w:t>
            </w:r>
          </w:p>
        </w:tc>
      </w:tr>
      <w:tr w:rsidR="00B67703" w:rsidRPr="00B67703" w14:paraId="166ADB0B" w14:textId="77777777" w:rsidTr="00B67703">
        <w:trPr>
          <w:trHeight w:val="276"/>
        </w:trPr>
        <w:tc>
          <w:tcPr>
            <w:tcW w:w="3760" w:type="dxa"/>
            <w:tcBorders>
              <w:top w:val="nil"/>
              <w:left w:val="single" w:sz="4" w:space="0" w:color="auto"/>
              <w:bottom w:val="single" w:sz="4" w:space="0" w:color="auto"/>
              <w:right w:val="single" w:sz="4" w:space="0" w:color="auto"/>
            </w:tcBorders>
            <w:shd w:val="clear" w:color="auto" w:fill="auto"/>
            <w:hideMark/>
          </w:tcPr>
          <w:p w14:paraId="67BAB90D"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peļņa vai zaudējumi, EUR</w:t>
            </w:r>
          </w:p>
        </w:tc>
        <w:tc>
          <w:tcPr>
            <w:tcW w:w="1260" w:type="dxa"/>
            <w:tcBorders>
              <w:top w:val="nil"/>
              <w:left w:val="nil"/>
              <w:bottom w:val="single" w:sz="4" w:space="0" w:color="auto"/>
              <w:right w:val="single" w:sz="4" w:space="0" w:color="auto"/>
            </w:tcBorders>
            <w:shd w:val="clear" w:color="auto" w:fill="auto"/>
            <w:noWrap/>
            <w:hideMark/>
          </w:tcPr>
          <w:p w14:paraId="015A12A6"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5 539 000</w:t>
            </w:r>
          </w:p>
        </w:tc>
        <w:tc>
          <w:tcPr>
            <w:tcW w:w="1660" w:type="dxa"/>
            <w:tcBorders>
              <w:top w:val="nil"/>
              <w:left w:val="nil"/>
              <w:bottom w:val="single" w:sz="4" w:space="0" w:color="auto"/>
              <w:right w:val="single" w:sz="4" w:space="0" w:color="auto"/>
            </w:tcBorders>
            <w:shd w:val="clear" w:color="auto" w:fill="auto"/>
            <w:noWrap/>
            <w:hideMark/>
          </w:tcPr>
          <w:p w14:paraId="778A257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448 000</w:t>
            </w:r>
          </w:p>
        </w:tc>
        <w:tc>
          <w:tcPr>
            <w:tcW w:w="1800" w:type="dxa"/>
            <w:tcBorders>
              <w:top w:val="nil"/>
              <w:left w:val="nil"/>
              <w:bottom w:val="single" w:sz="4" w:space="0" w:color="auto"/>
              <w:right w:val="single" w:sz="4" w:space="0" w:color="auto"/>
            </w:tcBorders>
            <w:shd w:val="clear" w:color="auto" w:fill="auto"/>
            <w:noWrap/>
            <w:hideMark/>
          </w:tcPr>
          <w:p w14:paraId="09CD6603"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13 829 000</w:t>
            </w:r>
          </w:p>
        </w:tc>
        <w:tc>
          <w:tcPr>
            <w:tcW w:w="1220" w:type="dxa"/>
            <w:tcBorders>
              <w:top w:val="nil"/>
              <w:left w:val="nil"/>
              <w:bottom w:val="single" w:sz="4" w:space="0" w:color="auto"/>
              <w:right w:val="single" w:sz="4" w:space="0" w:color="auto"/>
            </w:tcBorders>
            <w:shd w:val="clear" w:color="auto" w:fill="auto"/>
            <w:noWrap/>
            <w:hideMark/>
          </w:tcPr>
          <w:p w14:paraId="27CF3D42"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13 381 000</w:t>
            </w:r>
          </w:p>
        </w:tc>
        <w:tc>
          <w:tcPr>
            <w:tcW w:w="1020" w:type="dxa"/>
            <w:tcBorders>
              <w:top w:val="nil"/>
              <w:left w:val="nil"/>
              <w:bottom w:val="single" w:sz="4" w:space="0" w:color="auto"/>
              <w:right w:val="single" w:sz="4" w:space="0" w:color="auto"/>
            </w:tcBorders>
            <w:shd w:val="clear" w:color="auto" w:fill="auto"/>
            <w:hideMark/>
          </w:tcPr>
          <w:p w14:paraId="546DE158"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2987%</w:t>
            </w:r>
          </w:p>
        </w:tc>
      </w:tr>
      <w:tr w:rsidR="00B67703" w:rsidRPr="00B67703" w14:paraId="63AD5F07" w14:textId="77777777" w:rsidTr="00B67703">
        <w:trPr>
          <w:trHeight w:val="765"/>
        </w:trPr>
        <w:tc>
          <w:tcPr>
            <w:tcW w:w="3760" w:type="dxa"/>
            <w:tcBorders>
              <w:top w:val="nil"/>
              <w:left w:val="single" w:sz="4" w:space="0" w:color="auto"/>
              <w:bottom w:val="single" w:sz="4" w:space="0" w:color="auto"/>
              <w:right w:val="single" w:sz="4" w:space="0" w:color="auto"/>
            </w:tcBorders>
            <w:shd w:val="clear" w:color="auto" w:fill="auto"/>
            <w:hideMark/>
          </w:tcPr>
          <w:p w14:paraId="1C61E1F5"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peļņa pirms procentu maksājumiem, nodokļiem, nolietojuma un amortizācijas atskaitījumiem (EBITDA), EUR</w:t>
            </w:r>
          </w:p>
        </w:tc>
        <w:tc>
          <w:tcPr>
            <w:tcW w:w="1260" w:type="dxa"/>
            <w:tcBorders>
              <w:top w:val="nil"/>
              <w:left w:val="nil"/>
              <w:bottom w:val="single" w:sz="4" w:space="0" w:color="auto"/>
              <w:right w:val="single" w:sz="4" w:space="0" w:color="auto"/>
            </w:tcBorders>
            <w:shd w:val="clear" w:color="auto" w:fill="auto"/>
            <w:noWrap/>
            <w:hideMark/>
          </w:tcPr>
          <w:p w14:paraId="722626E1"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6 455 000</w:t>
            </w:r>
          </w:p>
        </w:tc>
        <w:tc>
          <w:tcPr>
            <w:tcW w:w="1660" w:type="dxa"/>
            <w:tcBorders>
              <w:top w:val="nil"/>
              <w:left w:val="nil"/>
              <w:bottom w:val="single" w:sz="4" w:space="0" w:color="auto"/>
              <w:right w:val="single" w:sz="4" w:space="0" w:color="auto"/>
            </w:tcBorders>
            <w:shd w:val="clear" w:color="auto" w:fill="auto"/>
            <w:noWrap/>
            <w:hideMark/>
          </w:tcPr>
          <w:p w14:paraId="3CAE6C64"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1 364 000</w:t>
            </w:r>
          </w:p>
        </w:tc>
        <w:tc>
          <w:tcPr>
            <w:tcW w:w="1800" w:type="dxa"/>
            <w:tcBorders>
              <w:top w:val="nil"/>
              <w:left w:val="nil"/>
              <w:bottom w:val="single" w:sz="4" w:space="0" w:color="auto"/>
              <w:right w:val="single" w:sz="4" w:space="0" w:color="auto"/>
            </w:tcBorders>
            <w:shd w:val="clear" w:color="auto" w:fill="auto"/>
            <w:noWrap/>
            <w:hideMark/>
          </w:tcPr>
          <w:p w14:paraId="0A810C7A"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14 764 000</w:t>
            </w:r>
          </w:p>
        </w:tc>
        <w:tc>
          <w:tcPr>
            <w:tcW w:w="1220" w:type="dxa"/>
            <w:tcBorders>
              <w:top w:val="nil"/>
              <w:left w:val="nil"/>
              <w:bottom w:val="single" w:sz="4" w:space="0" w:color="auto"/>
              <w:right w:val="single" w:sz="4" w:space="0" w:color="auto"/>
            </w:tcBorders>
            <w:shd w:val="clear" w:color="auto" w:fill="auto"/>
            <w:noWrap/>
            <w:hideMark/>
          </w:tcPr>
          <w:p w14:paraId="13C85720"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13 400 000</w:t>
            </w:r>
          </w:p>
        </w:tc>
        <w:tc>
          <w:tcPr>
            <w:tcW w:w="1020" w:type="dxa"/>
            <w:tcBorders>
              <w:top w:val="nil"/>
              <w:left w:val="nil"/>
              <w:bottom w:val="single" w:sz="4" w:space="0" w:color="auto"/>
              <w:right w:val="single" w:sz="4" w:space="0" w:color="auto"/>
            </w:tcBorders>
            <w:shd w:val="clear" w:color="auto" w:fill="auto"/>
            <w:hideMark/>
          </w:tcPr>
          <w:p w14:paraId="07C31FF3"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982%</w:t>
            </w:r>
          </w:p>
        </w:tc>
      </w:tr>
      <w:tr w:rsidR="00B67703" w:rsidRPr="00B67703" w14:paraId="131C2302" w14:textId="77777777" w:rsidTr="00B67703">
        <w:trPr>
          <w:trHeight w:val="300"/>
        </w:trPr>
        <w:tc>
          <w:tcPr>
            <w:tcW w:w="3760" w:type="dxa"/>
            <w:tcBorders>
              <w:top w:val="nil"/>
              <w:left w:val="single" w:sz="4" w:space="0" w:color="auto"/>
              <w:bottom w:val="single" w:sz="4" w:space="0" w:color="auto"/>
              <w:right w:val="single" w:sz="4" w:space="0" w:color="auto"/>
            </w:tcBorders>
            <w:shd w:val="clear" w:color="auto" w:fill="auto"/>
            <w:hideMark/>
          </w:tcPr>
          <w:p w14:paraId="0D2380C3" w14:textId="77777777" w:rsidR="00B67703" w:rsidRPr="00B67703" w:rsidRDefault="00B67703" w:rsidP="00B67703">
            <w:pPr>
              <w:spacing w:after="0" w:line="240" w:lineRule="auto"/>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pašu kapitāls, EUR</w:t>
            </w:r>
          </w:p>
        </w:tc>
        <w:tc>
          <w:tcPr>
            <w:tcW w:w="1260" w:type="dxa"/>
            <w:tcBorders>
              <w:top w:val="nil"/>
              <w:left w:val="nil"/>
              <w:bottom w:val="single" w:sz="4" w:space="0" w:color="auto"/>
              <w:right w:val="single" w:sz="4" w:space="0" w:color="auto"/>
            </w:tcBorders>
            <w:shd w:val="clear" w:color="auto" w:fill="auto"/>
            <w:hideMark/>
          </w:tcPr>
          <w:p w14:paraId="260F7DED"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381 933 000</w:t>
            </w:r>
          </w:p>
        </w:tc>
        <w:tc>
          <w:tcPr>
            <w:tcW w:w="1660" w:type="dxa"/>
            <w:tcBorders>
              <w:top w:val="nil"/>
              <w:left w:val="nil"/>
              <w:bottom w:val="single" w:sz="4" w:space="0" w:color="auto"/>
              <w:right w:val="single" w:sz="4" w:space="0" w:color="auto"/>
            </w:tcBorders>
            <w:shd w:val="clear" w:color="auto" w:fill="auto"/>
            <w:hideMark/>
          </w:tcPr>
          <w:p w14:paraId="3B5EB2B5"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478 242 200</w:t>
            </w:r>
          </w:p>
        </w:tc>
        <w:tc>
          <w:tcPr>
            <w:tcW w:w="1800" w:type="dxa"/>
            <w:tcBorders>
              <w:top w:val="nil"/>
              <w:left w:val="nil"/>
              <w:bottom w:val="single" w:sz="4" w:space="0" w:color="auto"/>
              <w:right w:val="single" w:sz="4" w:space="0" w:color="auto"/>
            </w:tcBorders>
            <w:shd w:val="clear" w:color="auto" w:fill="auto"/>
            <w:hideMark/>
          </w:tcPr>
          <w:p w14:paraId="3AFA99C7"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440 736 000</w:t>
            </w:r>
          </w:p>
        </w:tc>
        <w:tc>
          <w:tcPr>
            <w:tcW w:w="1220" w:type="dxa"/>
            <w:tcBorders>
              <w:top w:val="nil"/>
              <w:left w:val="nil"/>
              <w:bottom w:val="single" w:sz="4" w:space="0" w:color="auto"/>
              <w:right w:val="single" w:sz="4" w:space="0" w:color="auto"/>
            </w:tcBorders>
            <w:shd w:val="clear" w:color="auto" w:fill="auto"/>
            <w:hideMark/>
          </w:tcPr>
          <w:p w14:paraId="3AEA40D5"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-37 506 200</w:t>
            </w:r>
          </w:p>
        </w:tc>
        <w:tc>
          <w:tcPr>
            <w:tcW w:w="1020" w:type="dxa"/>
            <w:tcBorders>
              <w:top w:val="nil"/>
              <w:left w:val="nil"/>
              <w:bottom w:val="single" w:sz="4" w:space="0" w:color="auto"/>
              <w:right w:val="single" w:sz="4" w:space="0" w:color="auto"/>
            </w:tcBorders>
            <w:shd w:val="clear" w:color="auto" w:fill="auto"/>
            <w:hideMark/>
          </w:tcPr>
          <w:p w14:paraId="47C6078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-8%</w:t>
            </w:r>
          </w:p>
        </w:tc>
      </w:tr>
      <w:tr w:rsidR="00B67703" w:rsidRPr="00B67703" w14:paraId="31B32060" w14:textId="77777777" w:rsidTr="00B67703">
        <w:trPr>
          <w:trHeight w:val="300"/>
        </w:trPr>
        <w:tc>
          <w:tcPr>
            <w:tcW w:w="3760" w:type="dxa"/>
            <w:tcBorders>
              <w:top w:val="nil"/>
              <w:left w:val="single" w:sz="4" w:space="0" w:color="auto"/>
              <w:bottom w:val="single" w:sz="4" w:space="0" w:color="auto"/>
              <w:right w:val="single" w:sz="4" w:space="0" w:color="auto"/>
            </w:tcBorders>
            <w:shd w:val="clear" w:color="auto" w:fill="auto"/>
            <w:hideMark/>
          </w:tcPr>
          <w:p w14:paraId="3977D074" w14:textId="77777777" w:rsidR="00B67703" w:rsidRPr="00B67703" w:rsidRDefault="00B67703" w:rsidP="00B67703">
            <w:pPr>
              <w:spacing w:after="0" w:line="240" w:lineRule="auto"/>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 xml:space="preserve">pašu kapitāla </w:t>
            </w:r>
            <w:proofErr w:type="spellStart"/>
            <w:r w:rsidRPr="00B67703">
              <w:rPr>
                <w:rFonts w:ascii="Century Gothic" w:eastAsia="Times New Roman" w:hAnsi="Century Gothic" w:cs="Times New Roman"/>
                <w:sz w:val="20"/>
                <w:szCs w:val="20"/>
                <w:lang w:eastAsia="lv-LV"/>
              </w:rPr>
              <w:t>atdeve</w:t>
            </w:r>
            <w:proofErr w:type="spellEnd"/>
            <w:r w:rsidRPr="00B67703">
              <w:rPr>
                <w:rFonts w:ascii="Century Gothic" w:eastAsia="Times New Roman" w:hAnsi="Century Gothic" w:cs="Times New Roman"/>
                <w:sz w:val="20"/>
                <w:szCs w:val="20"/>
                <w:lang w:eastAsia="lv-LV"/>
              </w:rPr>
              <w:t xml:space="preserve"> (ROE), %</w:t>
            </w:r>
          </w:p>
        </w:tc>
        <w:tc>
          <w:tcPr>
            <w:tcW w:w="1260" w:type="dxa"/>
            <w:tcBorders>
              <w:top w:val="nil"/>
              <w:left w:val="nil"/>
              <w:bottom w:val="single" w:sz="4" w:space="0" w:color="auto"/>
              <w:right w:val="single" w:sz="4" w:space="0" w:color="auto"/>
            </w:tcBorders>
            <w:shd w:val="clear" w:color="auto" w:fill="auto"/>
            <w:noWrap/>
            <w:hideMark/>
          </w:tcPr>
          <w:p w14:paraId="4484CBFB"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1.45%</w:t>
            </w:r>
          </w:p>
        </w:tc>
        <w:tc>
          <w:tcPr>
            <w:tcW w:w="1660" w:type="dxa"/>
            <w:tcBorders>
              <w:top w:val="nil"/>
              <w:left w:val="nil"/>
              <w:bottom w:val="single" w:sz="4" w:space="0" w:color="auto"/>
              <w:right w:val="single" w:sz="4" w:space="0" w:color="auto"/>
            </w:tcBorders>
            <w:shd w:val="clear" w:color="auto" w:fill="auto"/>
            <w:hideMark/>
          </w:tcPr>
          <w:p w14:paraId="35922DDB"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0.10%</w:t>
            </w:r>
          </w:p>
        </w:tc>
        <w:tc>
          <w:tcPr>
            <w:tcW w:w="1800" w:type="dxa"/>
            <w:tcBorders>
              <w:top w:val="nil"/>
              <w:left w:val="nil"/>
              <w:bottom w:val="single" w:sz="4" w:space="0" w:color="auto"/>
              <w:right w:val="single" w:sz="4" w:space="0" w:color="auto"/>
            </w:tcBorders>
            <w:shd w:val="clear" w:color="auto" w:fill="auto"/>
            <w:noWrap/>
            <w:hideMark/>
          </w:tcPr>
          <w:p w14:paraId="43F603F3"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3.14%</w:t>
            </w:r>
          </w:p>
        </w:tc>
        <w:tc>
          <w:tcPr>
            <w:tcW w:w="1220" w:type="dxa"/>
            <w:tcBorders>
              <w:top w:val="nil"/>
              <w:left w:val="nil"/>
              <w:bottom w:val="single" w:sz="4" w:space="0" w:color="auto"/>
              <w:right w:val="single" w:sz="4" w:space="0" w:color="auto"/>
            </w:tcBorders>
            <w:shd w:val="clear" w:color="auto" w:fill="auto"/>
            <w:noWrap/>
            <w:hideMark/>
          </w:tcPr>
          <w:p w14:paraId="50024F80"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3.04%</w:t>
            </w:r>
          </w:p>
        </w:tc>
        <w:tc>
          <w:tcPr>
            <w:tcW w:w="1020" w:type="dxa"/>
            <w:tcBorders>
              <w:top w:val="nil"/>
              <w:left w:val="nil"/>
              <w:bottom w:val="single" w:sz="4" w:space="0" w:color="auto"/>
              <w:right w:val="single" w:sz="4" w:space="0" w:color="auto"/>
            </w:tcBorders>
            <w:shd w:val="clear" w:color="auto" w:fill="auto"/>
            <w:hideMark/>
          </w:tcPr>
          <w:p w14:paraId="03B0D39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3038%</w:t>
            </w:r>
          </w:p>
        </w:tc>
      </w:tr>
      <w:tr w:rsidR="00B67703" w:rsidRPr="00B67703" w14:paraId="5E13D4A2" w14:textId="77777777" w:rsidTr="00B67703">
        <w:trPr>
          <w:trHeight w:val="298"/>
        </w:trPr>
        <w:tc>
          <w:tcPr>
            <w:tcW w:w="3760" w:type="dxa"/>
            <w:tcBorders>
              <w:top w:val="nil"/>
              <w:left w:val="single" w:sz="4" w:space="0" w:color="auto"/>
              <w:bottom w:val="single" w:sz="4" w:space="0" w:color="auto"/>
              <w:right w:val="single" w:sz="4" w:space="0" w:color="auto"/>
            </w:tcBorders>
            <w:shd w:val="clear" w:color="auto" w:fill="auto"/>
            <w:hideMark/>
          </w:tcPr>
          <w:p w14:paraId="3FEDE3C2" w14:textId="77777777" w:rsidR="00B67703" w:rsidRPr="00B67703" w:rsidRDefault="00B67703" w:rsidP="00B67703">
            <w:pPr>
              <w:spacing w:after="0" w:line="240" w:lineRule="auto"/>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likviditātes rādītājs</w:t>
            </w:r>
          </w:p>
        </w:tc>
        <w:tc>
          <w:tcPr>
            <w:tcW w:w="1260" w:type="dxa"/>
            <w:tcBorders>
              <w:top w:val="nil"/>
              <w:left w:val="nil"/>
              <w:bottom w:val="single" w:sz="4" w:space="0" w:color="auto"/>
              <w:right w:val="single" w:sz="4" w:space="0" w:color="auto"/>
            </w:tcBorders>
            <w:shd w:val="clear" w:color="auto" w:fill="auto"/>
            <w:hideMark/>
          </w:tcPr>
          <w:p w14:paraId="24475DF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464%</w:t>
            </w:r>
          </w:p>
        </w:tc>
        <w:tc>
          <w:tcPr>
            <w:tcW w:w="1660" w:type="dxa"/>
            <w:tcBorders>
              <w:top w:val="nil"/>
              <w:left w:val="nil"/>
              <w:bottom w:val="single" w:sz="4" w:space="0" w:color="auto"/>
              <w:right w:val="single" w:sz="4" w:space="0" w:color="auto"/>
            </w:tcBorders>
            <w:shd w:val="clear" w:color="auto" w:fill="auto"/>
            <w:hideMark/>
          </w:tcPr>
          <w:p w14:paraId="60EDD547"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145%</w:t>
            </w:r>
          </w:p>
        </w:tc>
        <w:tc>
          <w:tcPr>
            <w:tcW w:w="1800" w:type="dxa"/>
            <w:tcBorders>
              <w:top w:val="nil"/>
              <w:left w:val="nil"/>
              <w:bottom w:val="single" w:sz="4" w:space="0" w:color="auto"/>
              <w:right w:val="single" w:sz="4" w:space="0" w:color="auto"/>
            </w:tcBorders>
            <w:shd w:val="clear" w:color="auto" w:fill="auto"/>
            <w:hideMark/>
          </w:tcPr>
          <w:p w14:paraId="1F1BF63D"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518%</w:t>
            </w:r>
          </w:p>
        </w:tc>
        <w:tc>
          <w:tcPr>
            <w:tcW w:w="1220" w:type="dxa"/>
            <w:tcBorders>
              <w:top w:val="nil"/>
              <w:left w:val="nil"/>
              <w:bottom w:val="single" w:sz="4" w:space="0" w:color="auto"/>
              <w:right w:val="single" w:sz="4" w:space="0" w:color="auto"/>
            </w:tcBorders>
            <w:shd w:val="clear" w:color="auto" w:fill="auto"/>
            <w:hideMark/>
          </w:tcPr>
          <w:p w14:paraId="0EC235C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373%</w:t>
            </w:r>
          </w:p>
        </w:tc>
        <w:tc>
          <w:tcPr>
            <w:tcW w:w="1020" w:type="dxa"/>
            <w:tcBorders>
              <w:top w:val="nil"/>
              <w:left w:val="nil"/>
              <w:bottom w:val="single" w:sz="4" w:space="0" w:color="auto"/>
              <w:right w:val="single" w:sz="4" w:space="0" w:color="auto"/>
            </w:tcBorders>
            <w:shd w:val="clear" w:color="auto" w:fill="auto"/>
            <w:hideMark/>
          </w:tcPr>
          <w:p w14:paraId="4B963FA1"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257%</w:t>
            </w:r>
          </w:p>
        </w:tc>
      </w:tr>
      <w:tr w:rsidR="00B67703" w:rsidRPr="00B67703" w14:paraId="4DC3E638" w14:textId="77777777" w:rsidTr="00B67703">
        <w:trPr>
          <w:trHeight w:val="300"/>
        </w:trPr>
        <w:tc>
          <w:tcPr>
            <w:tcW w:w="3760" w:type="dxa"/>
            <w:tcBorders>
              <w:top w:val="nil"/>
              <w:left w:val="single" w:sz="4" w:space="0" w:color="auto"/>
              <w:bottom w:val="single" w:sz="4" w:space="0" w:color="auto"/>
              <w:right w:val="single" w:sz="4" w:space="0" w:color="auto"/>
            </w:tcBorders>
            <w:shd w:val="clear" w:color="auto" w:fill="auto"/>
            <w:hideMark/>
          </w:tcPr>
          <w:p w14:paraId="39D14031"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saistības pret pašu kapitālu, %</w:t>
            </w:r>
          </w:p>
        </w:tc>
        <w:tc>
          <w:tcPr>
            <w:tcW w:w="1260" w:type="dxa"/>
            <w:tcBorders>
              <w:top w:val="nil"/>
              <w:left w:val="nil"/>
              <w:bottom w:val="single" w:sz="4" w:space="0" w:color="auto"/>
              <w:right w:val="single" w:sz="4" w:space="0" w:color="auto"/>
            </w:tcBorders>
            <w:shd w:val="clear" w:color="auto" w:fill="auto"/>
            <w:noWrap/>
            <w:hideMark/>
          </w:tcPr>
          <w:p w14:paraId="2B985C83"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111%</w:t>
            </w:r>
          </w:p>
        </w:tc>
        <w:tc>
          <w:tcPr>
            <w:tcW w:w="1660" w:type="dxa"/>
            <w:tcBorders>
              <w:top w:val="nil"/>
              <w:left w:val="nil"/>
              <w:bottom w:val="single" w:sz="4" w:space="0" w:color="auto"/>
              <w:right w:val="single" w:sz="4" w:space="0" w:color="auto"/>
            </w:tcBorders>
            <w:shd w:val="clear" w:color="auto" w:fill="auto"/>
            <w:noWrap/>
            <w:hideMark/>
          </w:tcPr>
          <w:p w14:paraId="0F21D6B9"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113%</w:t>
            </w:r>
          </w:p>
        </w:tc>
        <w:tc>
          <w:tcPr>
            <w:tcW w:w="1800" w:type="dxa"/>
            <w:tcBorders>
              <w:top w:val="nil"/>
              <w:left w:val="nil"/>
              <w:bottom w:val="single" w:sz="4" w:space="0" w:color="auto"/>
              <w:right w:val="single" w:sz="4" w:space="0" w:color="auto"/>
            </w:tcBorders>
            <w:shd w:val="clear" w:color="auto" w:fill="auto"/>
            <w:noWrap/>
            <w:hideMark/>
          </w:tcPr>
          <w:p w14:paraId="2037357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111%</w:t>
            </w:r>
          </w:p>
        </w:tc>
        <w:tc>
          <w:tcPr>
            <w:tcW w:w="1220" w:type="dxa"/>
            <w:tcBorders>
              <w:top w:val="nil"/>
              <w:left w:val="nil"/>
              <w:bottom w:val="single" w:sz="4" w:space="0" w:color="auto"/>
              <w:right w:val="single" w:sz="4" w:space="0" w:color="auto"/>
            </w:tcBorders>
            <w:shd w:val="clear" w:color="auto" w:fill="auto"/>
            <w:noWrap/>
            <w:hideMark/>
          </w:tcPr>
          <w:p w14:paraId="010B3AA1"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-2%</w:t>
            </w:r>
          </w:p>
        </w:tc>
        <w:tc>
          <w:tcPr>
            <w:tcW w:w="1020" w:type="dxa"/>
            <w:tcBorders>
              <w:top w:val="nil"/>
              <w:left w:val="nil"/>
              <w:bottom w:val="single" w:sz="4" w:space="0" w:color="auto"/>
              <w:right w:val="single" w:sz="4" w:space="0" w:color="auto"/>
            </w:tcBorders>
            <w:shd w:val="clear" w:color="auto" w:fill="auto"/>
            <w:hideMark/>
          </w:tcPr>
          <w:p w14:paraId="26D4D389"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w:t>
            </w:r>
          </w:p>
        </w:tc>
      </w:tr>
      <w:tr w:rsidR="00B67703" w:rsidRPr="00B67703" w14:paraId="6CF80265" w14:textId="77777777" w:rsidTr="00B67703">
        <w:trPr>
          <w:trHeight w:val="300"/>
        </w:trPr>
        <w:tc>
          <w:tcPr>
            <w:tcW w:w="3760" w:type="dxa"/>
            <w:tcBorders>
              <w:top w:val="nil"/>
              <w:left w:val="single" w:sz="4" w:space="0" w:color="auto"/>
              <w:bottom w:val="single" w:sz="4" w:space="0" w:color="auto"/>
              <w:right w:val="single" w:sz="4" w:space="0" w:color="auto"/>
            </w:tcBorders>
            <w:shd w:val="clear" w:color="auto" w:fill="auto"/>
            <w:hideMark/>
          </w:tcPr>
          <w:p w14:paraId="6F63C134"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pamatdarbības neto naudas plūsma, EUR</w:t>
            </w:r>
          </w:p>
        </w:tc>
        <w:tc>
          <w:tcPr>
            <w:tcW w:w="1260" w:type="dxa"/>
            <w:tcBorders>
              <w:top w:val="nil"/>
              <w:left w:val="nil"/>
              <w:bottom w:val="single" w:sz="4" w:space="0" w:color="auto"/>
              <w:right w:val="single" w:sz="4" w:space="0" w:color="auto"/>
            </w:tcBorders>
            <w:shd w:val="clear" w:color="auto" w:fill="auto"/>
            <w:noWrap/>
            <w:hideMark/>
          </w:tcPr>
          <w:p w14:paraId="60F7DBB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21 977 000*</w:t>
            </w:r>
          </w:p>
        </w:tc>
        <w:tc>
          <w:tcPr>
            <w:tcW w:w="1660" w:type="dxa"/>
            <w:tcBorders>
              <w:top w:val="nil"/>
              <w:left w:val="nil"/>
              <w:bottom w:val="nil"/>
              <w:right w:val="nil"/>
            </w:tcBorders>
            <w:shd w:val="clear" w:color="auto" w:fill="auto"/>
            <w:noWrap/>
            <w:hideMark/>
          </w:tcPr>
          <w:p w14:paraId="1FB567E2"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43 954 000</w:t>
            </w:r>
          </w:p>
        </w:tc>
        <w:tc>
          <w:tcPr>
            <w:tcW w:w="1800" w:type="dxa"/>
            <w:tcBorders>
              <w:top w:val="nil"/>
              <w:left w:val="single" w:sz="4" w:space="0" w:color="auto"/>
              <w:bottom w:val="single" w:sz="4" w:space="0" w:color="auto"/>
              <w:right w:val="single" w:sz="4" w:space="0" w:color="auto"/>
            </w:tcBorders>
            <w:shd w:val="clear" w:color="auto" w:fill="auto"/>
            <w:noWrap/>
            <w:hideMark/>
          </w:tcPr>
          <w:p w14:paraId="0D5EFF81"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49 555 000</w:t>
            </w:r>
          </w:p>
        </w:tc>
        <w:tc>
          <w:tcPr>
            <w:tcW w:w="1220" w:type="dxa"/>
            <w:tcBorders>
              <w:top w:val="nil"/>
              <w:left w:val="nil"/>
              <w:bottom w:val="single" w:sz="4" w:space="0" w:color="auto"/>
              <w:right w:val="single" w:sz="4" w:space="0" w:color="auto"/>
            </w:tcBorders>
            <w:shd w:val="clear" w:color="auto" w:fill="auto"/>
            <w:noWrap/>
            <w:hideMark/>
          </w:tcPr>
          <w:p w14:paraId="107CA666"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5 601 000</w:t>
            </w:r>
          </w:p>
        </w:tc>
        <w:tc>
          <w:tcPr>
            <w:tcW w:w="1020" w:type="dxa"/>
            <w:tcBorders>
              <w:top w:val="nil"/>
              <w:left w:val="nil"/>
              <w:bottom w:val="single" w:sz="4" w:space="0" w:color="auto"/>
              <w:right w:val="single" w:sz="4" w:space="0" w:color="auto"/>
            </w:tcBorders>
            <w:shd w:val="clear" w:color="auto" w:fill="auto"/>
            <w:hideMark/>
          </w:tcPr>
          <w:p w14:paraId="190842D1"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13%</w:t>
            </w:r>
          </w:p>
        </w:tc>
      </w:tr>
      <w:tr w:rsidR="00B67703" w:rsidRPr="00B67703" w14:paraId="4874639D" w14:textId="77777777" w:rsidTr="00B67703">
        <w:trPr>
          <w:trHeight w:val="369"/>
        </w:trPr>
        <w:tc>
          <w:tcPr>
            <w:tcW w:w="3760" w:type="dxa"/>
            <w:tcBorders>
              <w:top w:val="nil"/>
              <w:left w:val="single" w:sz="4" w:space="0" w:color="auto"/>
              <w:bottom w:val="single" w:sz="4" w:space="0" w:color="auto"/>
              <w:right w:val="single" w:sz="4" w:space="0" w:color="auto"/>
            </w:tcBorders>
            <w:shd w:val="clear" w:color="auto" w:fill="auto"/>
            <w:hideMark/>
          </w:tcPr>
          <w:p w14:paraId="0180DEEC" w14:textId="77777777" w:rsidR="00B67703" w:rsidRPr="00B67703" w:rsidRDefault="00B67703" w:rsidP="00B67703">
            <w:pPr>
              <w:spacing w:after="0" w:line="240" w:lineRule="auto"/>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investīciju plāna izpilde, EUR</w:t>
            </w:r>
          </w:p>
        </w:tc>
        <w:tc>
          <w:tcPr>
            <w:tcW w:w="1260" w:type="dxa"/>
            <w:tcBorders>
              <w:top w:val="nil"/>
              <w:left w:val="nil"/>
              <w:bottom w:val="single" w:sz="4" w:space="0" w:color="auto"/>
              <w:right w:val="single" w:sz="4" w:space="0" w:color="auto"/>
            </w:tcBorders>
            <w:shd w:val="clear" w:color="auto" w:fill="auto"/>
            <w:noWrap/>
            <w:hideMark/>
          </w:tcPr>
          <w:p w14:paraId="47F4AB85"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4 717 000</w:t>
            </w:r>
          </w:p>
        </w:tc>
        <w:tc>
          <w:tcPr>
            <w:tcW w:w="1660" w:type="dxa"/>
            <w:tcBorders>
              <w:top w:val="single" w:sz="4" w:space="0" w:color="auto"/>
              <w:left w:val="nil"/>
              <w:bottom w:val="single" w:sz="4" w:space="0" w:color="auto"/>
              <w:right w:val="single" w:sz="4" w:space="0" w:color="auto"/>
            </w:tcBorders>
            <w:shd w:val="clear" w:color="auto" w:fill="auto"/>
            <w:noWrap/>
            <w:hideMark/>
          </w:tcPr>
          <w:p w14:paraId="1064F878"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4 797 000</w:t>
            </w:r>
          </w:p>
        </w:tc>
        <w:tc>
          <w:tcPr>
            <w:tcW w:w="1800" w:type="dxa"/>
            <w:tcBorders>
              <w:top w:val="nil"/>
              <w:left w:val="nil"/>
              <w:bottom w:val="single" w:sz="4" w:space="0" w:color="auto"/>
              <w:right w:val="single" w:sz="4" w:space="0" w:color="auto"/>
            </w:tcBorders>
            <w:shd w:val="clear" w:color="auto" w:fill="auto"/>
            <w:noWrap/>
            <w:hideMark/>
          </w:tcPr>
          <w:p w14:paraId="0C9CC8CC"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4 570 000</w:t>
            </w:r>
          </w:p>
        </w:tc>
        <w:tc>
          <w:tcPr>
            <w:tcW w:w="1220" w:type="dxa"/>
            <w:tcBorders>
              <w:top w:val="nil"/>
              <w:left w:val="nil"/>
              <w:bottom w:val="single" w:sz="4" w:space="0" w:color="auto"/>
              <w:right w:val="single" w:sz="4" w:space="0" w:color="auto"/>
            </w:tcBorders>
            <w:shd w:val="clear" w:color="auto" w:fill="auto"/>
            <w:noWrap/>
            <w:hideMark/>
          </w:tcPr>
          <w:p w14:paraId="75CFEC3C"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-227 000</w:t>
            </w:r>
          </w:p>
        </w:tc>
        <w:tc>
          <w:tcPr>
            <w:tcW w:w="1020" w:type="dxa"/>
            <w:tcBorders>
              <w:top w:val="nil"/>
              <w:left w:val="nil"/>
              <w:bottom w:val="single" w:sz="4" w:space="0" w:color="auto"/>
              <w:right w:val="single" w:sz="4" w:space="0" w:color="auto"/>
            </w:tcBorders>
            <w:shd w:val="clear" w:color="auto" w:fill="auto"/>
            <w:hideMark/>
          </w:tcPr>
          <w:p w14:paraId="44A6A77E"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-5%</w:t>
            </w:r>
          </w:p>
        </w:tc>
      </w:tr>
      <w:tr w:rsidR="00B67703" w:rsidRPr="00B67703" w14:paraId="7039C619" w14:textId="77777777" w:rsidTr="00B67703">
        <w:trPr>
          <w:trHeight w:val="510"/>
        </w:trPr>
        <w:tc>
          <w:tcPr>
            <w:tcW w:w="3760" w:type="dxa"/>
            <w:tcBorders>
              <w:top w:val="nil"/>
              <w:left w:val="single" w:sz="4" w:space="0" w:color="auto"/>
              <w:bottom w:val="single" w:sz="4" w:space="0" w:color="auto"/>
              <w:right w:val="single" w:sz="4" w:space="0" w:color="auto"/>
            </w:tcBorders>
            <w:shd w:val="clear" w:color="auto" w:fill="auto"/>
            <w:hideMark/>
          </w:tcPr>
          <w:p w14:paraId="341E6BE2" w14:textId="77777777" w:rsidR="00B67703" w:rsidRPr="00B67703" w:rsidRDefault="00B67703" w:rsidP="00B67703">
            <w:pPr>
              <w:spacing w:after="0" w:line="240" w:lineRule="auto"/>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valsts budžetā iemaksātās dividendes pārskata gadā, EUR</w:t>
            </w:r>
          </w:p>
        </w:tc>
        <w:tc>
          <w:tcPr>
            <w:tcW w:w="1260" w:type="dxa"/>
            <w:tcBorders>
              <w:top w:val="nil"/>
              <w:left w:val="nil"/>
              <w:bottom w:val="single" w:sz="4" w:space="0" w:color="auto"/>
              <w:right w:val="single" w:sz="4" w:space="0" w:color="auto"/>
            </w:tcBorders>
            <w:shd w:val="clear" w:color="auto" w:fill="auto"/>
            <w:noWrap/>
            <w:hideMark/>
          </w:tcPr>
          <w:p w14:paraId="0E1D7B85"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660" w:type="dxa"/>
            <w:tcBorders>
              <w:top w:val="nil"/>
              <w:left w:val="nil"/>
              <w:bottom w:val="single" w:sz="4" w:space="0" w:color="auto"/>
              <w:right w:val="single" w:sz="4" w:space="0" w:color="auto"/>
            </w:tcBorders>
            <w:shd w:val="clear" w:color="auto" w:fill="auto"/>
            <w:noWrap/>
            <w:hideMark/>
          </w:tcPr>
          <w:p w14:paraId="1C185C8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800" w:type="dxa"/>
            <w:tcBorders>
              <w:top w:val="nil"/>
              <w:left w:val="nil"/>
              <w:bottom w:val="single" w:sz="4" w:space="0" w:color="auto"/>
              <w:right w:val="single" w:sz="4" w:space="0" w:color="auto"/>
            </w:tcBorders>
            <w:shd w:val="clear" w:color="auto" w:fill="auto"/>
            <w:noWrap/>
            <w:hideMark/>
          </w:tcPr>
          <w:p w14:paraId="6DA3991C"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220" w:type="dxa"/>
            <w:tcBorders>
              <w:top w:val="nil"/>
              <w:left w:val="nil"/>
              <w:bottom w:val="single" w:sz="4" w:space="0" w:color="auto"/>
              <w:right w:val="single" w:sz="4" w:space="0" w:color="auto"/>
            </w:tcBorders>
            <w:shd w:val="clear" w:color="auto" w:fill="auto"/>
            <w:noWrap/>
            <w:hideMark/>
          </w:tcPr>
          <w:p w14:paraId="3835CC18"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020" w:type="dxa"/>
            <w:tcBorders>
              <w:top w:val="nil"/>
              <w:left w:val="nil"/>
              <w:bottom w:val="single" w:sz="4" w:space="0" w:color="auto"/>
              <w:right w:val="single" w:sz="4" w:space="0" w:color="auto"/>
            </w:tcBorders>
            <w:shd w:val="clear" w:color="auto" w:fill="auto"/>
            <w:hideMark/>
          </w:tcPr>
          <w:p w14:paraId="02E3978E"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r>
      <w:tr w:rsidR="00B67703" w:rsidRPr="00B67703" w14:paraId="68423005" w14:textId="77777777" w:rsidTr="00B67703">
        <w:trPr>
          <w:trHeight w:val="1020"/>
        </w:trPr>
        <w:tc>
          <w:tcPr>
            <w:tcW w:w="3760" w:type="dxa"/>
            <w:tcBorders>
              <w:top w:val="nil"/>
              <w:left w:val="single" w:sz="4" w:space="0" w:color="auto"/>
              <w:bottom w:val="single" w:sz="4" w:space="0" w:color="auto"/>
              <w:right w:val="single" w:sz="4" w:space="0" w:color="auto"/>
            </w:tcBorders>
            <w:shd w:val="clear" w:color="auto" w:fill="auto"/>
            <w:hideMark/>
          </w:tcPr>
          <w:p w14:paraId="7371B108"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no valsts un pašvaldību budžeta tieši vai netieši saņemtais finansējums (dotācijas, maksa par pakalpojumiem un citi finanšu līdzekļi) kopā, EUR</w:t>
            </w:r>
          </w:p>
        </w:tc>
        <w:tc>
          <w:tcPr>
            <w:tcW w:w="1260" w:type="dxa"/>
            <w:tcBorders>
              <w:top w:val="nil"/>
              <w:left w:val="nil"/>
              <w:bottom w:val="single" w:sz="4" w:space="0" w:color="auto"/>
              <w:right w:val="single" w:sz="4" w:space="0" w:color="auto"/>
            </w:tcBorders>
            <w:shd w:val="clear" w:color="auto" w:fill="auto"/>
            <w:hideMark/>
          </w:tcPr>
          <w:p w14:paraId="6BA16BB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171 287 000</w:t>
            </w:r>
          </w:p>
        </w:tc>
        <w:tc>
          <w:tcPr>
            <w:tcW w:w="1660" w:type="dxa"/>
            <w:tcBorders>
              <w:top w:val="nil"/>
              <w:left w:val="nil"/>
              <w:bottom w:val="single" w:sz="4" w:space="0" w:color="auto"/>
              <w:right w:val="single" w:sz="4" w:space="0" w:color="auto"/>
            </w:tcBorders>
            <w:shd w:val="clear" w:color="auto" w:fill="auto"/>
            <w:hideMark/>
          </w:tcPr>
          <w:p w14:paraId="2AAEA719"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71 706 000</w:t>
            </w:r>
          </w:p>
        </w:tc>
        <w:tc>
          <w:tcPr>
            <w:tcW w:w="1800" w:type="dxa"/>
            <w:tcBorders>
              <w:top w:val="nil"/>
              <w:left w:val="nil"/>
              <w:bottom w:val="single" w:sz="4" w:space="0" w:color="auto"/>
              <w:right w:val="single" w:sz="4" w:space="0" w:color="auto"/>
            </w:tcBorders>
            <w:shd w:val="clear" w:color="auto" w:fill="auto"/>
            <w:hideMark/>
          </w:tcPr>
          <w:p w14:paraId="094D2C8C"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71 059 000</w:t>
            </w:r>
          </w:p>
        </w:tc>
        <w:tc>
          <w:tcPr>
            <w:tcW w:w="1220" w:type="dxa"/>
            <w:tcBorders>
              <w:top w:val="nil"/>
              <w:left w:val="nil"/>
              <w:bottom w:val="single" w:sz="4" w:space="0" w:color="auto"/>
              <w:right w:val="single" w:sz="4" w:space="0" w:color="auto"/>
            </w:tcBorders>
            <w:shd w:val="clear" w:color="auto" w:fill="auto"/>
            <w:noWrap/>
            <w:hideMark/>
          </w:tcPr>
          <w:p w14:paraId="70B2AEC1"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-647 000</w:t>
            </w:r>
          </w:p>
        </w:tc>
        <w:tc>
          <w:tcPr>
            <w:tcW w:w="1020" w:type="dxa"/>
            <w:tcBorders>
              <w:top w:val="nil"/>
              <w:left w:val="nil"/>
              <w:bottom w:val="single" w:sz="4" w:space="0" w:color="auto"/>
              <w:right w:val="single" w:sz="4" w:space="0" w:color="auto"/>
            </w:tcBorders>
            <w:shd w:val="clear" w:color="auto" w:fill="auto"/>
            <w:hideMark/>
          </w:tcPr>
          <w:p w14:paraId="11E70F49"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w:t>
            </w:r>
          </w:p>
        </w:tc>
      </w:tr>
      <w:tr w:rsidR="00B67703" w:rsidRPr="00B67703" w14:paraId="1800FE0C" w14:textId="77777777" w:rsidTr="00B67703">
        <w:trPr>
          <w:trHeight w:val="300"/>
        </w:trPr>
        <w:tc>
          <w:tcPr>
            <w:tcW w:w="3760" w:type="dxa"/>
            <w:tcBorders>
              <w:top w:val="nil"/>
              <w:left w:val="single" w:sz="4" w:space="0" w:color="auto"/>
              <w:bottom w:val="single" w:sz="4" w:space="0" w:color="auto"/>
              <w:right w:val="single" w:sz="4" w:space="0" w:color="auto"/>
            </w:tcBorders>
            <w:shd w:val="clear" w:color="auto" w:fill="auto"/>
            <w:hideMark/>
          </w:tcPr>
          <w:p w14:paraId="4E391B1D"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proofErr w:type="spellStart"/>
            <w:r w:rsidRPr="00B67703">
              <w:rPr>
                <w:rFonts w:ascii="Century Gothic" w:eastAsia="Times New Roman" w:hAnsi="Century Gothic" w:cs="Times New Roman"/>
                <w:color w:val="000000"/>
                <w:sz w:val="20"/>
                <w:szCs w:val="20"/>
                <w:lang w:eastAsia="lv-LV"/>
              </w:rPr>
              <w:t>tsk</w:t>
            </w:r>
            <w:proofErr w:type="spellEnd"/>
            <w:r w:rsidRPr="00B67703">
              <w:rPr>
                <w:rFonts w:ascii="Century Gothic" w:eastAsia="Times New Roman" w:hAnsi="Century Gothic" w:cs="Times New Roman"/>
                <w:color w:val="000000"/>
                <w:sz w:val="20"/>
                <w:szCs w:val="20"/>
                <w:lang w:eastAsia="lv-LV"/>
              </w:rPr>
              <w:t>. - Dotācijas, EUR</w:t>
            </w:r>
          </w:p>
        </w:tc>
        <w:tc>
          <w:tcPr>
            <w:tcW w:w="1260" w:type="dxa"/>
            <w:tcBorders>
              <w:top w:val="nil"/>
              <w:left w:val="nil"/>
              <w:bottom w:val="single" w:sz="4" w:space="0" w:color="auto"/>
              <w:right w:val="single" w:sz="4" w:space="0" w:color="auto"/>
            </w:tcBorders>
            <w:shd w:val="clear" w:color="auto" w:fill="auto"/>
            <w:hideMark/>
          </w:tcPr>
          <w:p w14:paraId="7FD20591"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660" w:type="dxa"/>
            <w:tcBorders>
              <w:top w:val="nil"/>
              <w:left w:val="nil"/>
              <w:bottom w:val="single" w:sz="4" w:space="0" w:color="auto"/>
              <w:right w:val="single" w:sz="4" w:space="0" w:color="auto"/>
            </w:tcBorders>
            <w:shd w:val="clear" w:color="auto" w:fill="auto"/>
            <w:hideMark/>
          </w:tcPr>
          <w:p w14:paraId="372C8A4E"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800" w:type="dxa"/>
            <w:tcBorders>
              <w:top w:val="nil"/>
              <w:left w:val="nil"/>
              <w:bottom w:val="single" w:sz="4" w:space="0" w:color="auto"/>
              <w:right w:val="single" w:sz="4" w:space="0" w:color="auto"/>
            </w:tcBorders>
            <w:shd w:val="clear" w:color="auto" w:fill="auto"/>
            <w:hideMark/>
          </w:tcPr>
          <w:p w14:paraId="42C2AB47"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220" w:type="dxa"/>
            <w:tcBorders>
              <w:top w:val="nil"/>
              <w:left w:val="nil"/>
              <w:bottom w:val="single" w:sz="4" w:space="0" w:color="auto"/>
              <w:right w:val="single" w:sz="4" w:space="0" w:color="auto"/>
            </w:tcBorders>
            <w:shd w:val="clear" w:color="auto" w:fill="auto"/>
            <w:noWrap/>
            <w:hideMark/>
          </w:tcPr>
          <w:p w14:paraId="41318D92"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020" w:type="dxa"/>
            <w:tcBorders>
              <w:top w:val="nil"/>
              <w:left w:val="nil"/>
              <w:bottom w:val="single" w:sz="4" w:space="0" w:color="auto"/>
              <w:right w:val="single" w:sz="4" w:space="0" w:color="auto"/>
            </w:tcBorders>
            <w:shd w:val="clear" w:color="auto" w:fill="auto"/>
            <w:hideMark/>
          </w:tcPr>
          <w:p w14:paraId="2510FE85"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r>
      <w:tr w:rsidR="00B67703" w:rsidRPr="00B67703" w14:paraId="247C22F6" w14:textId="77777777" w:rsidTr="00B67703">
        <w:trPr>
          <w:trHeight w:val="510"/>
        </w:trPr>
        <w:tc>
          <w:tcPr>
            <w:tcW w:w="3760" w:type="dxa"/>
            <w:tcBorders>
              <w:top w:val="nil"/>
              <w:left w:val="single" w:sz="4" w:space="0" w:color="auto"/>
              <w:bottom w:val="single" w:sz="4" w:space="0" w:color="auto"/>
              <w:right w:val="single" w:sz="4" w:space="0" w:color="auto"/>
            </w:tcBorders>
            <w:shd w:val="clear" w:color="auto" w:fill="auto"/>
            <w:hideMark/>
          </w:tcPr>
          <w:p w14:paraId="791EE201"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Kompensācija par valsts atbalsta programmu vadības izdevumiem, EUR</w:t>
            </w:r>
          </w:p>
        </w:tc>
        <w:tc>
          <w:tcPr>
            <w:tcW w:w="1260" w:type="dxa"/>
            <w:tcBorders>
              <w:top w:val="nil"/>
              <w:left w:val="nil"/>
              <w:bottom w:val="single" w:sz="4" w:space="0" w:color="auto"/>
              <w:right w:val="single" w:sz="4" w:space="0" w:color="auto"/>
            </w:tcBorders>
            <w:shd w:val="clear" w:color="auto" w:fill="auto"/>
            <w:hideMark/>
          </w:tcPr>
          <w:p w14:paraId="30D143C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2 785 000</w:t>
            </w:r>
          </w:p>
        </w:tc>
        <w:tc>
          <w:tcPr>
            <w:tcW w:w="1660" w:type="dxa"/>
            <w:tcBorders>
              <w:top w:val="nil"/>
              <w:left w:val="nil"/>
              <w:bottom w:val="single" w:sz="4" w:space="0" w:color="auto"/>
              <w:right w:val="single" w:sz="4" w:space="0" w:color="auto"/>
            </w:tcBorders>
            <w:shd w:val="clear" w:color="auto" w:fill="auto"/>
            <w:noWrap/>
            <w:hideMark/>
          </w:tcPr>
          <w:p w14:paraId="672266E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2 500 000</w:t>
            </w:r>
          </w:p>
        </w:tc>
        <w:tc>
          <w:tcPr>
            <w:tcW w:w="1800" w:type="dxa"/>
            <w:tcBorders>
              <w:top w:val="nil"/>
              <w:left w:val="nil"/>
              <w:bottom w:val="single" w:sz="4" w:space="0" w:color="auto"/>
              <w:right w:val="single" w:sz="4" w:space="0" w:color="auto"/>
            </w:tcBorders>
            <w:shd w:val="clear" w:color="auto" w:fill="auto"/>
            <w:hideMark/>
          </w:tcPr>
          <w:p w14:paraId="2DD3D4C3"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2 404 000</w:t>
            </w:r>
          </w:p>
        </w:tc>
        <w:tc>
          <w:tcPr>
            <w:tcW w:w="1220" w:type="dxa"/>
            <w:tcBorders>
              <w:top w:val="nil"/>
              <w:left w:val="nil"/>
              <w:bottom w:val="single" w:sz="4" w:space="0" w:color="auto"/>
              <w:right w:val="single" w:sz="4" w:space="0" w:color="auto"/>
            </w:tcBorders>
            <w:shd w:val="clear" w:color="auto" w:fill="auto"/>
            <w:noWrap/>
            <w:hideMark/>
          </w:tcPr>
          <w:p w14:paraId="329612EF"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-96 000</w:t>
            </w:r>
          </w:p>
        </w:tc>
        <w:tc>
          <w:tcPr>
            <w:tcW w:w="1020" w:type="dxa"/>
            <w:tcBorders>
              <w:top w:val="nil"/>
              <w:left w:val="nil"/>
              <w:bottom w:val="single" w:sz="4" w:space="0" w:color="auto"/>
              <w:right w:val="single" w:sz="4" w:space="0" w:color="auto"/>
            </w:tcBorders>
            <w:shd w:val="clear" w:color="auto" w:fill="auto"/>
            <w:hideMark/>
          </w:tcPr>
          <w:p w14:paraId="42612959"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-4%</w:t>
            </w:r>
          </w:p>
        </w:tc>
      </w:tr>
      <w:tr w:rsidR="00B67703" w:rsidRPr="00B67703" w14:paraId="2002F103" w14:textId="77777777" w:rsidTr="00F41B7B">
        <w:trPr>
          <w:trHeight w:val="510"/>
        </w:trPr>
        <w:tc>
          <w:tcPr>
            <w:tcW w:w="3760" w:type="dxa"/>
            <w:tcBorders>
              <w:top w:val="nil"/>
              <w:left w:val="single" w:sz="4" w:space="0" w:color="auto"/>
              <w:bottom w:val="single" w:sz="4" w:space="0" w:color="auto"/>
              <w:right w:val="single" w:sz="4" w:space="0" w:color="auto"/>
            </w:tcBorders>
            <w:shd w:val="clear" w:color="auto" w:fill="auto"/>
            <w:hideMark/>
          </w:tcPr>
          <w:p w14:paraId="4955F2DC"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Kompensācija par riska kapitāla fondu pārvaldīšanas komisijām, EUR</w:t>
            </w:r>
          </w:p>
        </w:tc>
        <w:tc>
          <w:tcPr>
            <w:tcW w:w="1260" w:type="dxa"/>
            <w:tcBorders>
              <w:top w:val="nil"/>
              <w:left w:val="nil"/>
              <w:bottom w:val="single" w:sz="4" w:space="0" w:color="auto"/>
              <w:right w:val="single" w:sz="4" w:space="0" w:color="auto"/>
            </w:tcBorders>
            <w:shd w:val="clear" w:color="auto" w:fill="auto"/>
            <w:noWrap/>
            <w:hideMark/>
          </w:tcPr>
          <w:p w14:paraId="0152C44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3 447 000</w:t>
            </w:r>
          </w:p>
        </w:tc>
        <w:tc>
          <w:tcPr>
            <w:tcW w:w="1660" w:type="dxa"/>
            <w:tcBorders>
              <w:top w:val="nil"/>
              <w:left w:val="nil"/>
              <w:bottom w:val="single" w:sz="4" w:space="0" w:color="auto"/>
              <w:right w:val="single" w:sz="4" w:space="0" w:color="auto"/>
            </w:tcBorders>
            <w:shd w:val="clear" w:color="auto" w:fill="auto"/>
            <w:noWrap/>
            <w:hideMark/>
          </w:tcPr>
          <w:p w14:paraId="5F41AAC4"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3 450 000</w:t>
            </w:r>
          </w:p>
        </w:tc>
        <w:tc>
          <w:tcPr>
            <w:tcW w:w="1800" w:type="dxa"/>
            <w:tcBorders>
              <w:top w:val="nil"/>
              <w:left w:val="nil"/>
              <w:bottom w:val="single" w:sz="4" w:space="0" w:color="auto"/>
              <w:right w:val="single" w:sz="4" w:space="0" w:color="auto"/>
            </w:tcBorders>
            <w:shd w:val="clear" w:color="auto" w:fill="auto"/>
            <w:noWrap/>
            <w:hideMark/>
          </w:tcPr>
          <w:p w14:paraId="75411783"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2 983 000</w:t>
            </w:r>
          </w:p>
        </w:tc>
        <w:tc>
          <w:tcPr>
            <w:tcW w:w="1220" w:type="dxa"/>
            <w:tcBorders>
              <w:top w:val="nil"/>
              <w:left w:val="nil"/>
              <w:bottom w:val="single" w:sz="4" w:space="0" w:color="auto"/>
              <w:right w:val="single" w:sz="4" w:space="0" w:color="auto"/>
            </w:tcBorders>
            <w:shd w:val="clear" w:color="auto" w:fill="auto"/>
            <w:noWrap/>
            <w:hideMark/>
          </w:tcPr>
          <w:p w14:paraId="5D3000FD"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-467 000</w:t>
            </w:r>
          </w:p>
        </w:tc>
        <w:tc>
          <w:tcPr>
            <w:tcW w:w="1020" w:type="dxa"/>
            <w:tcBorders>
              <w:top w:val="nil"/>
              <w:left w:val="nil"/>
              <w:bottom w:val="single" w:sz="4" w:space="0" w:color="auto"/>
              <w:right w:val="single" w:sz="4" w:space="0" w:color="auto"/>
            </w:tcBorders>
            <w:shd w:val="clear" w:color="auto" w:fill="auto"/>
            <w:hideMark/>
          </w:tcPr>
          <w:p w14:paraId="15A2C241"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-14%</w:t>
            </w:r>
          </w:p>
        </w:tc>
      </w:tr>
      <w:tr w:rsidR="00B67703" w:rsidRPr="00B67703" w14:paraId="64486A6F" w14:textId="77777777" w:rsidTr="00F41B7B">
        <w:trPr>
          <w:trHeight w:val="437"/>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14:paraId="2BE4B8D0"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Kompensācija par kapitāla atdevi, EUR</w:t>
            </w:r>
          </w:p>
        </w:tc>
        <w:tc>
          <w:tcPr>
            <w:tcW w:w="1260" w:type="dxa"/>
            <w:tcBorders>
              <w:top w:val="single" w:sz="4" w:space="0" w:color="auto"/>
              <w:left w:val="nil"/>
              <w:bottom w:val="single" w:sz="4" w:space="0" w:color="auto"/>
              <w:right w:val="single" w:sz="4" w:space="0" w:color="auto"/>
            </w:tcBorders>
            <w:shd w:val="clear" w:color="auto" w:fill="auto"/>
            <w:noWrap/>
            <w:hideMark/>
          </w:tcPr>
          <w:p w14:paraId="1D9675E9" w14:textId="77777777" w:rsid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294</w:t>
            </w:r>
            <w:r w:rsidR="00F41B7B">
              <w:rPr>
                <w:rFonts w:ascii="Century Gothic" w:eastAsia="Times New Roman" w:hAnsi="Century Gothic" w:cs="Times New Roman"/>
                <w:color w:val="000000"/>
                <w:sz w:val="20"/>
                <w:szCs w:val="20"/>
                <w:lang w:eastAsia="lv-LV"/>
              </w:rPr>
              <w:t> </w:t>
            </w:r>
            <w:r w:rsidRPr="00B67703">
              <w:rPr>
                <w:rFonts w:ascii="Century Gothic" w:eastAsia="Times New Roman" w:hAnsi="Century Gothic" w:cs="Times New Roman"/>
                <w:color w:val="000000"/>
                <w:sz w:val="20"/>
                <w:szCs w:val="20"/>
                <w:lang w:eastAsia="lv-LV"/>
              </w:rPr>
              <w:t>000</w:t>
            </w:r>
            <w:r w:rsidR="00F41B7B">
              <w:rPr>
                <w:rFonts w:ascii="Century Gothic" w:eastAsia="Times New Roman" w:hAnsi="Century Gothic" w:cs="Times New Roman"/>
                <w:color w:val="000000"/>
                <w:sz w:val="20"/>
                <w:szCs w:val="20"/>
                <w:lang w:eastAsia="lv-LV"/>
              </w:rPr>
              <w:t xml:space="preserve"> </w:t>
            </w:r>
          </w:p>
          <w:p w14:paraId="0092CA4D" w14:textId="1E0E1709" w:rsidR="00F41B7B" w:rsidRPr="00B67703" w:rsidRDefault="00F41B7B" w:rsidP="00B67703">
            <w:pPr>
              <w:spacing w:after="0" w:line="240" w:lineRule="auto"/>
              <w:jc w:val="right"/>
              <w:rPr>
                <w:rFonts w:ascii="Century Gothic" w:eastAsia="Times New Roman" w:hAnsi="Century Gothic" w:cs="Times New Roman"/>
                <w:color w:val="000000"/>
                <w:sz w:val="20"/>
                <w:szCs w:val="20"/>
                <w:lang w:eastAsia="lv-LV"/>
              </w:rPr>
            </w:pPr>
          </w:p>
        </w:tc>
        <w:tc>
          <w:tcPr>
            <w:tcW w:w="1660" w:type="dxa"/>
            <w:tcBorders>
              <w:top w:val="single" w:sz="4" w:space="0" w:color="auto"/>
              <w:left w:val="nil"/>
              <w:bottom w:val="single" w:sz="4" w:space="0" w:color="auto"/>
              <w:right w:val="single" w:sz="4" w:space="0" w:color="auto"/>
            </w:tcBorders>
            <w:shd w:val="clear" w:color="auto" w:fill="auto"/>
            <w:noWrap/>
            <w:hideMark/>
          </w:tcPr>
          <w:p w14:paraId="2801322D" w14:textId="77777777" w:rsid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p w14:paraId="1A678B12" w14:textId="3036239E" w:rsidR="00F41B7B" w:rsidRPr="00B67703" w:rsidRDefault="00F41B7B" w:rsidP="00B67703">
            <w:pPr>
              <w:spacing w:after="0" w:line="240" w:lineRule="auto"/>
              <w:jc w:val="right"/>
              <w:rPr>
                <w:rFonts w:ascii="Century Gothic" w:eastAsia="Times New Roman" w:hAnsi="Century Gothic" w:cs="Times New Roman"/>
                <w:color w:val="000000"/>
                <w:sz w:val="20"/>
                <w:szCs w:val="20"/>
                <w:lang w:eastAsia="lv-LV"/>
              </w:rPr>
            </w:pPr>
          </w:p>
        </w:tc>
        <w:tc>
          <w:tcPr>
            <w:tcW w:w="1800" w:type="dxa"/>
            <w:tcBorders>
              <w:top w:val="single" w:sz="4" w:space="0" w:color="auto"/>
              <w:left w:val="nil"/>
              <w:bottom w:val="single" w:sz="4" w:space="0" w:color="auto"/>
              <w:right w:val="single" w:sz="4" w:space="0" w:color="auto"/>
            </w:tcBorders>
            <w:shd w:val="clear" w:color="auto" w:fill="auto"/>
            <w:noWrap/>
            <w:hideMark/>
          </w:tcPr>
          <w:p w14:paraId="6FFBDB5E" w14:textId="3C5B372A" w:rsid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331</w:t>
            </w:r>
            <w:r w:rsidR="00F41B7B">
              <w:rPr>
                <w:rFonts w:ascii="Century Gothic" w:eastAsia="Times New Roman" w:hAnsi="Century Gothic" w:cs="Times New Roman"/>
                <w:color w:val="000000"/>
                <w:sz w:val="20"/>
                <w:szCs w:val="20"/>
                <w:lang w:eastAsia="lv-LV"/>
              </w:rPr>
              <w:t> </w:t>
            </w:r>
            <w:r w:rsidRPr="00B67703">
              <w:rPr>
                <w:rFonts w:ascii="Century Gothic" w:eastAsia="Times New Roman" w:hAnsi="Century Gothic" w:cs="Times New Roman"/>
                <w:color w:val="000000"/>
                <w:sz w:val="20"/>
                <w:szCs w:val="20"/>
                <w:lang w:eastAsia="lv-LV"/>
              </w:rPr>
              <w:t>000</w:t>
            </w:r>
          </w:p>
          <w:p w14:paraId="114EF3A1" w14:textId="50EEB0A7" w:rsidR="00F41B7B" w:rsidRPr="00B67703" w:rsidRDefault="00F41B7B" w:rsidP="00B67703">
            <w:pPr>
              <w:spacing w:after="0" w:line="240" w:lineRule="auto"/>
              <w:jc w:val="right"/>
              <w:rPr>
                <w:rFonts w:ascii="Century Gothic" w:eastAsia="Times New Roman" w:hAnsi="Century Gothic" w:cs="Times New Roman"/>
                <w:color w:val="000000"/>
                <w:sz w:val="20"/>
                <w:szCs w:val="20"/>
                <w:lang w:eastAsia="lv-LV"/>
              </w:rPr>
            </w:pPr>
          </w:p>
        </w:tc>
        <w:tc>
          <w:tcPr>
            <w:tcW w:w="1220" w:type="dxa"/>
            <w:tcBorders>
              <w:top w:val="single" w:sz="4" w:space="0" w:color="auto"/>
              <w:left w:val="nil"/>
              <w:bottom w:val="single" w:sz="4" w:space="0" w:color="auto"/>
              <w:right w:val="single" w:sz="4" w:space="0" w:color="auto"/>
            </w:tcBorders>
            <w:shd w:val="clear" w:color="auto" w:fill="auto"/>
            <w:noWrap/>
            <w:hideMark/>
          </w:tcPr>
          <w:p w14:paraId="0E6E3D3B" w14:textId="5DBFB2B4" w:rsid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331</w:t>
            </w:r>
            <w:r w:rsidR="00F41B7B">
              <w:rPr>
                <w:rFonts w:ascii="Century Gothic" w:eastAsia="Times New Roman" w:hAnsi="Century Gothic" w:cs="Times New Roman"/>
                <w:sz w:val="20"/>
                <w:szCs w:val="20"/>
                <w:lang w:eastAsia="lv-LV"/>
              </w:rPr>
              <w:t> </w:t>
            </w:r>
            <w:r w:rsidRPr="00B67703">
              <w:rPr>
                <w:rFonts w:ascii="Century Gothic" w:eastAsia="Times New Roman" w:hAnsi="Century Gothic" w:cs="Times New Roman"/>
                <w:sz w:val="20"/>
                <w:szCs w:val="20"/>
                <w:lang w:eastAsia="lv-LV"/>
              </w:rPr>
              <w:t>000</w:t>
            </w:r>
          </w:p>
          <w:p w14:paraId="1CE52E69" w14:textId="12602B6A" w:rsidR="00F41B7B" w:rsidRPr="00B67703" w:rsidRDefault="00F41B7B" w:rsidP="00B67703">
            <w:pPr>
              <w:spacing w:after="0" w:line="240" w:lineRule="auto"/>
              <w:jc w:val="right"/>
              <w:rPr>
                <w:rFonts w:ascii="Century Gothic" w:eastAsia="Times New Roman" w:hAnsi="Century Gothic" w:cs="Times New Roman"/>
                <w:sz w:val="20"/>
                <w:szCs w:val="20"/>
                <w:lang w:eastAsia="lv-LV"/>
              </w:rPr>
            </w:pPr>
          </w:p>
        </w:tc>
        <w:tc>
          <w:tcPr>
            <w:tcW w:w="1020" w:type="dxa"/>
            <w:tcBorders>
              <w:top w:val="single" w:sz="4" w:space="0" w:color="auto"/>
              <w:left w:val="nil"/>
              <w:bottom w:val="single" w:sz="4" w:space="0" w:color="auto"/>
              <w:right w:val="single" w:sz="4" w:space="0" w:color="auto"/>
            </w:tcBorders>
            <w:shd w:val="clear" w:color="auto" w:fill="auto"/>
            <w:hideMark/>
          </w:tcPr>
          <w:p w14:paraId="563B7F05" w14:textId="77777777" w:rsid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N</w:t>
            </w:r>
          </w:p>
          <w:p w14:paraId="1F3235D8" w14:textId="1E379AD4" w:rsidR="00F41B7B" w:rsidRPr="00B67703" w:rsidRDefault="00F41B7B" w:rsidP="00B67703">
            <w:pPr>
              <w:spacing w:after="0" w:line="240" w:lineRule="auto"/>
              <w:jc w:val="right"/>
              <w:rPr>
                <w:rFonts w:ascii="Century Gothic" w:eastAsia="Times New Roman" w:hAnsi="Century Gothic" w:cs="Times New Roman"/>
                <w:sz w:val="20"/>
                <w:szCs w:val="20"/>
                <w:lang w:eastAsia="lv-LV"/>
              </w:rPr>
            </w:pPr>
          </w:p>
        </w:tc>
      </w:tr>
      <w:tr w:rsidR="00B67703" w:rsidRPr="00B67703" w14:paraId="27F6CB33" w14:textId="77777777" w:rsidTr="00F41B7B">
        <w:trPr>
          <w:trHeight w:val="510"/>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14:paraId="4928070B"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lastRenderedPageBreak/>
              <w:t xml:space="preserve"> - Rezerves kapitāla palielinājums Mājokļu garantiju programmas īstenošanai, EUR </w:t>
            </w:r>
          </w:p>
        </w:tc>
        <w:tc>
          <w:tcPr>
            <w:tcW w:w="1260" w:type="dxa"/>
            <w:tcBorders>
              <w:top w:val="single" w:sz="4" w:space="0" w:color="auto"/>
              <w:left w:val="nil"/>
              <w:bottom w:val="single" w:sz="4" w:space="0" w:color="auto"/>
              <w:right w:val="single" w:sz="4" w:space="0" w:color="auto"/>
            </w:tcBorders>
            <w:shd w:val="clear" w:color="auto" w:fill="auto"/>
            <w:hideMark/>
          </w:tcPr>
          <w:p w14:paraId="1FA30392"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660" w:type="dxa"/>
            <w:tcBorders>
              <w:top w:val="single" w:sz="4" w:space="0" w:color="auto"/>
              <w:left w:val="nil"/>
              <w:bottom w:val="single" w:sz="4" w:space="0" w:color="auto"/>
              <w:right w:val="single" w:sz="4" w:space="0" w:color="auto"/>
            </w:tcBorders>
            <w:shd w:val="clear" w:color="auto" w:fill="auto"/>
            <w:hideMark/>
          </w:tcPr>
          <w:p w14:paraId="4BCCB1F5"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2 179 000</w:t>
            </w:r>
          </w:p>
        </w:tc>
        <w:tc>
          <w:tcPr>
            <w:tcW w:w="1800" w:type="dxa"/>
            <w:tcBorders>
              <w:top w:val="single" w:sz="4" w:space="0" w:color="auto"/>
              <w:left w:val="nil"/>
              <w:bottom w:val="single" w:sz="4" w:space="0" w:color="auto"/>
              <w:right w:val="single" w:sz="4" w:space="0" w:color="auto"/>
            </w:tcBorders>
            <w:shd w:val="clear" w:color="auto" w:fill="auto"/>
            <w:hideMark/>
          </w:tcPr>
          <w:p w14:paraId="06D3ED82"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2 179 000</w:t>
            </w:r>
          </w:p>
        </w:tc>
        <w:tc>
          <w:tcPr>
            <w:tcW w:w="1220" w:type="dxa"/>
            <w:tcBorders>
              <w:top w:val="single" w:sz="4" w:space="0" w:color="auto"/>
              <w:left w:val="nil"/>
              <w:bottom w:val="single" w:sz="4" w:space="0" w:color="auto"/>
              <w:right w:val="single" w:sz="4" w:space="0" w:color="auto"/>
            </w:tcBorders>
            <w:shd w:val="clear" w:color="auto" w:fill="auto"/>
            <w:noWrap/>
            <w:hideMark/>
          </w:tcPr>
          <w:p w14:paraId="0B4B3E1D"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0</w:t>
            </w:r>
          </w:p>
        </w:tc>
        <w:tc>
          <w:tcPr>
            <w:tcW w:w="1020" w:type="dxa"/>
            <w:tcBorders>
              <w:top w:val="single" w:sz="4" w:space="0" w:color="auto"/>
              <w:left w:val="nil"/>
              <w:bottom w:val="single" w:sz="4" w:space="0" w:color="auto"/>
              <w:right w:val="single" w:sz="4" w:space="0" w:color="auto"/>
            </w:tcBorders>
            <w:shd w:val="clear" w:color="auto" w:fill="auto"/>
            <w:hideMark/>
          </w:tcPr>
          <w:p w14:paraId="609AA69D"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N</w:t>
            </w:r>
          </w:p>
        </w:tc>
      </w:tr>
      <w:tr w:rsidR="00B67703" w:rsidRPr="00B67703" w14:paraId="24B9F726" w14:textId="77777777" w:rsidTr="00B67703">
        <w:trPr>
          <w:trHeight w:val="765"/>
        </w:trPr>
        <w:tc>
          <w:tcPr>
            <w:tcW w:w="3760" w:type="dxa"/>
            <w:tcBorders>
              <w:top w:val="nil"/>
              <w:left w:val="single" w:sz="4" w:space="0" w:color="auto"/>
              <w:bottom w:val="single" w:sz="4" w:space="0" w:color="auto"/>
              <w:right w:val="single" w:sz="4" w:space="0" w:color="auto"/>
            </w:tcBorders>
            <w:shd w:val="clear" w:color="auto" w:fill="auto"/>
            <w:hideMark/>
          </w:tcPr>
          <w:p w14:paraId="41DE2829"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Rezerves kapitāla palielinājums Studiju un </w:t>
            </w:r>
            <w:proofErr w:type="spellStart"/>
            <w:r w:rsidRPr="00B67703">
              <w:rPr>
                <w:rFonts w:ascii="Century Gothic" w:eastAsia="Times New Roman" w:hAnsi="Century Gothic" w:cs="Times New Roman"/>
                <w:color w:val="000000"/>
                <w:sz w:val="20"/>
                <w:szCs w:val="20"/>
                <w:lang w:eastAsia="lv-LV"/>
              </w:rPr>
              <w:t>strudējošo</w:t>
            </w:r>
            <w:proofErr w:type="spellEnd"/>
            <w:r w:rsidRPr="00B67703">
              <w:rPr>
                <w:rFonts w:ascii="Century Gothic" w:eastAsia="Times New Roman" w:hAnsi="Century Gothic" w:cs="Times New Roman"/>
                <w:color w:val="000000"/>
                <w:sz w:val="20"/>
                <w:szCs w:val="20"/>
                <w:lang w:eastAsia="lv-LV"/>
              </w:rPr>
              <w:t xml:space="preserve"> </w:t>
            </w:r>
            <w:proofErr w:type="spellStart"/>
            <w:r w:rsidRPr="00B67703">
              <w:rPr>
                <w:rFonts w:ascii="Century Gothic" w:eastAsia="Times New Roman" w:hAnsi="Century Gothic" w:cs="Times New Roman"/>
                <w:color w:val="000000"/>
                <w:sz w:val="20"/>
                <w:szCs w:val="20"/>
                <w:lang w:eastAsia="lv-LV"/>
              </w:rPr>
              <w:t>portfeļgarantiju</w:t>
            </w:r>
            <w:proofErr w:type="spellEnd"/>
            <w:r w:rsidRPr="00B67703">
              <w:rPr>
                <w:rFonts w:ascii="Century Gothic" w:eastAsia="Times New Roman" w:hAnsi="Century Gothic" w:cs="Times New Roman"/>
                <w:color w:val="000000"/>
                <w:sz w:val="20"/>
                <w:szCs w:val="20"/>
                <w:lang w:eastAsia="lv-LV"/>
              </w:rPr>
              <w:t xml:space="preserve"> programmas īstenošanai, EUR </w:t>
            </w:r>
          </w:p>
        </w:tc>
        <w:tc>
          <w:tcPr>
            <w:tcW w:w="1260" w:type="dxa"/>
            <w:tcBorders>
              <w:top w:val="nil"/>
              <w:left w:val="nil"/>
              <w:bottom w:val="single" w:sz="4" w:space="0" w:color="auto"/>
              <w:right w:val="single" w:sz="4" w:space="0" w:color="auto"/>
            </w:tcBorders>
            <w:shd w:val="clear" w:color="auto" w:fill="auto"/>
            <w:hideMark/>
          </w:tcPr>
          <w:p w14:paraId="02B7956C"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626 000</w:t>
            </w:r>
          </w:p>
        </w:tc>
        <w:tc>
          <w:tcPr>
            <w:tcW w:w="1660" w:type="dxa"/>
            <w:tcBorders>
              <w:top w:val="nil"/>
              <w:left w:val="nil"/>
              <w:bottom w:val="single" w:sz="4" w:space="0" w:color="auto"/>
              <w:right w:val="single" w:sz="4" w:space="0" w:color="auto"/>
            </w:tcBorders>
            <w:shd w:val="clear" w:color="auto" w:fill="auto"/>
            <w:hideMark/>
          </w:tcPr>
          <w:p w14:paraId="57EC129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2 141 000</w:t>
            </w:r>
          </w:p>
        </w:tc>
        <w:tc>
          <w:tcPr>
            <w:tcW w:w="1800" w:type="dxa"/>
            <w:tcBorders>
              <w:top w:val="nil"/>
              <w:left w:val="nil"/>
              <w:bottom w:val="single" w:sz="4" w:space="0" w:color="auto"/>
              <w:right w:val="single" w:sz="4" w:space="0" w:color="auto"/>
            </w:tcBorders>
            <w:shd w:val="clear" w:color="auto" w:fill="auto"/>
            <w:hideMark/>
          </w:tcPr>
          <w:p w14:paraId="1693350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2 141 000</w:t>
            </w:r>
          </w:p>
        </w:tc>
        <w:tc>
          <w:tcPr>
            <w:tcW w:w="1220" w:type="dxa"/>
            <w:tcBorders>
              <w:top w:val="nil"/>
              <w:left w:val="nil"/>
              <w:bottom w:val="single" w:sz="4" w:space="0" w:color="auto"/>
              <w:right w:val="single" w:sz="4" w:space="0" w:color="auto"/>
            </w:tcBorders>
            <w:shd w:val="clear" w:color="auto" w:fill="auto"/>
            <w:noWrap/>
            <w:hideMark/>
          </w:tcPr>
          <w:p w14:paraId="28673C05"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0</w:t>
            </w:r>
          </w:p>
        </w:tc>
        <w:tc>
          <w:tcPr>
            <w:tcW w:w="1020" w:type="dxa"/>
            <w:tcBorders>
              <w:top w:val="nil"/>
              <w:left w:val="nil"/>
              <w:bottom w:val="single" w:sz="4" w:space="0" w:color="auto"/>
              <w:right w:val="single" w:sz="4" w:space="0" w:color="auto"/>
            </w:tcBorders>
            <w:shd w:val="clear" w:color="auto" w:fill="auto"/>
            <w:hideMark/>
          </w:tcPr>
          <w:p w14:paraId="1B764ECE"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N</w:t>
            </w:r>
          </w:p>
        </w:tc>
      </w:tr>
      <w:tr w:rsidR="00B67703" w:rsidRPr="00B67703" w14:paraId="4200AABE" w14:textId="77777777" w:rsidTr="00B67703">
        <w:trPr>
          <w:trHeight w:val="780"/>
        </w:trPr>
        <w:tc>
          <w:tcPr>
            <w:tcW w:w="3760" w:type="dxa"/>
            <w:tcBorders>
              <w:top w:val="nil"/>
              <w:left w:val="single" w:sz="4" w:space="0" w:color="auto"/>
              <w:bottom w:val="single" w:sz="4" w:space="0" w:color="auto"/>
              <w:right w:val="single" w:sz="4" w:space="0" w:color="auto"/>
            </w:tcBorders>
            <w:shd w:val="clear" w:color="auto" w:fill="auto"/>
            <w:hideMark/>
          </w:tcPr>
          <w:p w14:paraId="0D4B3D22"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Rezerves kapitāla palielinājums Kumulācijas un lielo saimnieciskās darbības veicēju garantiju programmas īstenošanai, EUR </w:t>
            </w:r>
          </w:p>
        </w:tc>
        <w:tc>
          <w:tcPr>
            <w:tcW w:w="1260" w:type="dxa"/>
            <w:tcBorders>
              <w:top w:val="nil"/>
              <w:left w:val="nil"/>
              <w:bottom w:val="single" w:sz="4" w:space="0" w:color="auto"/>
              <w:right w:val="single" w:sz="4" w:space="0" w:color="auto"/>
            </w:tcBorders>
            <w:shd w:val="clear" w:color="auto" w:fill="auto"/>
            <w:hideMark/>
          </w:tcPr>
          <w:p w14:paraId="1A74EA0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660" w:type="dxa"/>
            <w:tcBorders>
              <w:top w:val="nil"/>
              <w:left w:val="nil"/>
              <w:bottom w:val="single" w:sz="4" w:space="0" w:color="auto"/>
              <w:right w:val="single" w:sz="4" w:space="0" w:color="auto"/>
            </w:tcBorders>
            <w:shd w:val="clear" w:color="auto" w:fill="auto"/>
            <w:hideMark/>
          </w:tcPr>
          <w:p w14:paraId="12434D50"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2 000 000</w:t>
            </w:r>
          </w:p>
        </w:tc>
        <w:tc>
          <w:tcPr>
            <w:tcW w:w="1800" w:type="dxa"/>
            <w:tcBorders>
              <w:top w:val="nil"/>
              <w:left w:val="nil"/>
              <w:bottom w:val="single" w:sz="4" w:space="0" w:color="auto"/>
              <w:right w:val="single" w:sz="4" w:space="0" w:color="auto"/>
            </w:tcBorders>
            <w:shd w:val="clear" w:color="auto" w:fill="auto"/>
            <w:hideMark/>
          </w:tcPr>
          <w:p w14:paraId="3AF9BB12"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2 000 000</w:t>
            </w:r>
          </w:p>
        </w:tc>
        <w:tc>
          <w:tcPr>
            <w:tcW w:w="1220" w:type="dxa"/>
            <w:tcBorders>
              <w:top w:val="nil"/>
              <w:left w:val="nil"/>
              <w:bottom w:val="single" w:sz="4" w:space="0" w:color="auto"/>
              <w:right w:val="single" w:sz="4" w:space="0" w:color="auto"/>
            </w:tcBorders>
            <w:shd w:val="clear" w:color="auto" w:fill="auto"/>
            <w:noWrap/>
            <w:hideMark/>
          </w:tcPr>
          <w:p w14:paraId="198A868C"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0</w:t>
            </w:r>
          </w:p>
        </w:tc>
        <w:tc>
          <w:tcPr>
            <w:tcW w:w="1020" w:type="dxa"/>
            <w:tcBorders>
              <w:top w:val="nil"/>
              <w:left w:val="nil"/>
              <w:bottom w:val="single" w:sz="4" w:space="0" w:color="auto"/>
              <w:right w:val="single" w:sz="4" w:space="0" w:color="auto"/>
            </w:tcBorders>
            <w:shd w:val="clear" w:color="auto" w:fill="auto"/>
            <w:hideMark/>
          </w:tcPr>
          <w:p w14:paraId="725856A3"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N</w:t>
            </w:r>
          </w:p>
        </w:tc>
      </w:tr>
      <w:tr w:rsidR="00B67703" w:rsidRPr="00B67703" w14:paraId="2400AE30" w14:textId="77777777" w:rsidTr="00B67703">
        <w:trPr>
          <w:trHeight w:val="1020"/>
        </w:trPr>
        <w:tc>
          <w:tcPr>
            <w:tcW w:w="3760" w:type="dxa"/>
            <w:tcBorders>
              <w:top w:val="nil"/>
              <w:left w:val="single" w:sz="4" w:space="0" w:color="auto"/>
              <w:bottom w:val="single" w:sz="4" w:space="0" w:color="auto"/>
              <w:right w:val="single" w:sz="4" w:space="0" w:color="auto"/>
            </w:tcBorders>
            <w:shd w:val="clear" w:color="auto" w:fill="auto"/>
            <w:hideMark/>
          </w:tcPr>
          <w:p w14:paraId="2EA31ADC"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Rezerves kapitāla palielinājums Lauksaimniecības, zivsaimniecības un lauku attīstības garantiju programmas īstenošanai, EUR </w:t>
            </w:r>
          </w:p>
        </w:tc>
        <w:tc>
          <w:tcPr>
            <w:tcW w:w="1260" w:type="dxa"/>
            <w:tcBorders>
              <w:top w:val="nil"/>
              <w:left w:val="nil"/>
              <w:bottom w:val="single" w:sz="4" w:space="0" w:color="auto"/>
              <w:right w:val="single" w:sz="4" w:space="0" w:color="auto"/>
            </w:tcBorders>
            <w:shd w:val="clear" w:color="auto" w:fill="auto"/>
            <w:hideMark/>
          </w:tcPr>
          <w:p w14:paraId="424A299C"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660" w:type="dxa"/>
            <w:tcBorders>
              <w:top w:val="nil"/>
              <w:left w:val="nil"/>
              <w:bottom w:val="single" w:sz="4" w:space="0" w:color="auto"/>
              <w:right w:val="single" w:sz="4" w:space="0" w:color="auto"/>
            </w:tcBorders>
            <w:shd w:val="clear" w:color="auto" w:fill="auto"/>
            <w:hideMark/>
          </w:tcPr>
          <w:p w14:paraId="322B2EA6"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5 788 000</w:t>
            </w:r>
          </w:p>
        </w:tc>
        <w:tc>
          <w:tcPr>
            <w:tcW w:w="1800" w:type="dxa"/>
            <w:tcBorders>
              <w:top w:val="nil"/>
              <w:left w:val="nil"/>
              <w:bottom w:val="single" w:sz="4" w:space="0" w:color="auto"/>
              <w:right w:val="single" w:sz="4" w:space="0" w:color="auto"/>
            </w:tcBorders>
            <w:shd w:val="clear" w:color="auto" w:fill="auto"/>
            <w:hideMark/>
          </w:tcPr>
          <w:p w14:paraId="3DA95C23"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5 788 000</w:t>
            </w:r>
          </w:p>
        </w:tc>
        <w:tc>
          <w:tcPr>
            <w:tcW w:w="1220" w:type="dxa"/>
            <w:tcBorders>
              <w:top w:val="nil"/>
              <w:left w:val="nil"/>
              <w:bottom w:val="single" w:sz="4" w:space="0" w:color="auto"/>
              <w:right w:val="single" w:sz="4" w:space="0" w:color="auto"/>
            </w:tcBorders>
            <w:shd w:val="clear" w:color="auto" w:fill="auto"/>
            <w:noWrap/>
            <w:hideMark/>
          </w:tcPr>
          <w:p w14:paraId="25408FA5"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0</w:t>
            </w:r>
          </w:p>
        </w:tc>
        <w:tc>
          <w:tcPr>
            <w:tcW w:w="1020" w:type="dxa"/>
            <w:tcBorders>
              <w:top w:val="nil"/>
              <w:left w:val="nil"/>
              <w:bottom w:val="single" w:sz="4" w:space="0" w:color="auto"/>
              <w:right w:val="single" w:sz="4" w:space="0" w:color="auto"/>
            </w:tcBorders>
            <w:shd w:val="clear" w:color="auto" w:fill="auto"/>
            <w:hideMark/>
          </w:tcPr>
          <w:p w14:paraId="38D37A1E"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N</w:t>
            </w:r>
          </w:p>
        </w:tc>
      </w:tr>
      <w:tr w:rsidR="00B67703" w:rsidRPr="00B67703" w14:paraId="299834C8" w14:textId="77777777" w:rsidTr="006A0103">
        <w:trPr>
          <w:trHeight w:val="1020"/>
        </w:trPr>
        <w:tc>
          <w:tcPr>
            <w:tcW w:w="3760" w:type="dxa"/>
            <w:tcBorders>
              <w:top w:val="nil"/>
              <w:left w:val="single" w:sz="4" w:space="0" w:color="auto"/>
              <w:bottom w:val="single" w:sz="4" w:space="0" w:color="auto"/>
              <w:right w:val="single" w:sz="4" w:space="0" w:color="auto"/>
            </w:tcBorders>
            <w:shd w:val="clear" w:color="auto" w:fill="auto"/>
            <w:hideMark/>
          </w:tcPr>
          <w:p w14:paraId="49272062"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Rezerves kapitāla palielinājums Covid-19 izraisītās krīzes seku mazināšanas programmu īstenošanai, </w:t>
            </w:r>
            <w:proofErr w:type="spellStart"/>
            <w:r w:rsidRPr="00B67703">
              <w:rPr>
                <w:rFonts w:ascii="Century Gothic" w:eastAsia="Times New Roman" w:hAnsi="Century Gothic" w:cs="Times New Roman"/>
                <w:color w:val="000000"/>
                <w:sz w:val="20"/>
                <w:szCs w:val="20"/>
                <w:lang w:eastAsia="lv-LV"/>
              </w:rPr>
              <w:t>MidCap</w:t>
            </w:r>
            <w:proofErr w:type="spellEnd"/>
            <w:r w:rsidRPr="00B67703">
              <w:rPr>
                <w:rFonts w:ascii="Century Gothic" w:eastAsia="Times New Roman" w:hAnsi="Century Gothic" w:cs="Times New Roman"/>
                <w:color w:val="000000"/>
                <w:sz w:val="20"/>
                <w:szCs w:val="20"/>
                <w:lang w:eastAsia="lv-LV"/>
              </w:rPr>
              <w:t xml:space="preserve"> aizdevumu finansēšanai, EUR </w:t>
            </w:r>
          </w:p>
        </w:tc>
        <w:tc>
          <w:tcPr>
            <w:tcW w:w="1260" w:type="dxa"/>
            <w:tcBorders>
              <w:top w:val="nil"/>
              <w:left w:val="nil"/>
              <w:bottom w:val="single" w:sz="4" w:space="0" w:color="auto"/>
              <w:right w:val="single" w:sz="4" w:space="0" w:color="auto"/>
            </w:tcBorders>
            <w:shd w:val="clear" w:color="auto" w:fill="auto"/>
            <w:hideMark/>
          </w:tcPr>
          <w:p w14:paraId="7D122B3C"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0</w:t>
            </w:r>
          </w:p>
        </w:tc>
        <w:tc>
          <w:tcPr>
            <w:tcW w:w="1660" w:type="dxa"/>
            <w:tcBorders>
              <w:top w:val="nil"/>
              <w:left w:val="nil"/>
              <w:bottom w:val="single" w:sz="4" w:space="0" w:color="auto"/>
              <w:right w:val="single" w:sz="4" w:space="0" w:color="auto"/>
            </w:tcBorders>
            <w:shd w:val="clear" w:color="auto" w:fill="auto"/>
            <w:hideMark/>
          </w:tcPr>
          <w:p w14:paraId="3D11A29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22 565 000</w:t>
            </w:r>
          </w:p>
        </w:tc>
        <w:tc>
          <w:tcPr>
            <w:tcW w:w="1800" w:type="dxa"/>
            <w:tcBorders>
              <w:top w:val="nil"/>
              <w:left w:val="nil"/>
              <w:bottom w:val="single" w:sz="4" w:space="0" w:color="auto"/>
              <w:right w:val="single" w:sz="4" w:space="0" w:color="auto"/>
            </w:tcBorders>
            <w:shd w:val="clear" w:color="auto" w:fill="auto"/>
            <w:hideMark/>
          </w:tcPr>
          <w:p w14:paraId="6898711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22 565 000</w:t>
            </w:r>
          </w:p>
        </w:tc>
        <w:tc>
          <w:tcPr>
            <w:tcW w:w="1220" w:type="dxa"/>
            <w:tcBorders>
              <w:top w:val="nil"/>
              <w:left w:val="nil"/>
              <w:bottom w:val="single" w:sz="4" w:space="0" w:color="auto"/>
              <w:right w:val="single" w:sz="4" w:space="0" w:color="auto"/>
            </w:tcBorders>
            <w:shd w:val="clear" w:color="auto" w:fill="auto"/>
            <w:noWrap/>
            <w:hideMark/>
          </w:tcPr>
          <w:p w14:paraId="3B38976A"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0</w:t>
            </w:r>
          </w:p>
        </w:tc>
        <w:tc>
          <w:tcPr>
            <w:tcW w:w="1020" w:type="dxa"/>
            <w:tcBorders>
              <w:top w:val="nil"/>
              <w:left w:val="nil"/>
              <w:bottom w:val="single" w:sz="4" w:space="0" w:color="auto"/>
              <w:right w:val="single" w:sz="4" w:space="0" w:color="auto"/>
            </w:tcBorders>
            <w:shd w:val="clear" w:color="auto" w:fill="auto"/>
            <w:hideMark/>
          </w:tcPr>
          <w:p w14:paraId="05159F98"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N</w:t>
            </w:r>
          </w:p>
        </w:tc>
      </w:tr>
      <w:tr w:rsidR="00B67703" w:rsidRPr="00B67703" w14:paraId="352DD4A9" w14:textId="77777777" w:rsidTr="006A0103">
        <w:trPr>
          <w:trHeight w:val="1020"/>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14:paraId="4F2D96BA"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Rezerves kapitāla palielinājums Covid-19 izraisītās krīzes seku mazināšanas programmu īstenošanai, apgrozāmo līdzekļu aizdevumu </w:t>
            </w:r>
            <w:proofErr w:type="spellStart"/>
            <w:r w:rsidRPr="00B67703">
              <w:rPr>
                <w:rFonts w:ascii="Century Gothic" w:eastAsia="Times New Roman" w:hAnsi="Century Gothic" w:cs="Times New Roman"/>
                <w:color w:val="000000"/>
                <w:sz w:val="20"/>
                <w:szCs w:val="20"/>
                <w:lang w:eastAsia="lv-LV"/>
              </w:rPr>
              <w:t>finansešanai</w:t>
            </w:r>
            <w:proofErr w:type="spellEnd"/>
            <w:r w:rsidRPr="00B67703">
              <w:rPr>
                <w:rFonts w:ascii="Century Gothic" w:eastAsia="Times New Roman" w:hAnsi="Century Gothic" w:cs="Times New Roman"/>
                <w:color w:val="000000"/>
                <w:sz w:val="20"/>
                <w:szCs w:val="20"/>
                <w:lang w:eastAsia="lv-LV"/>
              </w:rPr>
              <w:t xml:space="preserve">, EUR </w:t>
            </w:r>
          </w:p>
        </w:tc>
        <w:tc>
          <w:tcPr>
            <w:tcW w:w="1260" w:type="dxa"/>
            <w:tcBorders>
              <w:top w:val="single" w:sz="4" w:space="0" w:color="auto"/>
              <w:left w:val="nil"/>
              <w:bottom w:val="single" w:sz="4" w:space="0" w:color="auto"/>
              <w:right w:val="single" w:sz="4" w:space="0" w:color="auto"/>
            </w:tcBorders>
            <w:shd w:val="clear" w:color="auto" w:fill="auto"/>
            <w:hideMark/>
          </w:tcPr>
          <w:p w14:paraId="22FC2EA5"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145 000 000</w:t>
            </w:r>
          </w:p>
        </w:tc>
        <w:tc>
          <w:tcPr>
            <w:tcW w:w="1660" w:type="dxa"/>
            <w:tcBorders>
              <w:top w:val="single" w:sz="4" w:space="0" w:color="auto"/>
              <w:left w:val="nil"/>
              <w:bottom w:val="single" w:sz="4" w:space="0" w:color="auto"/>
              <w:right w:val="single" w:sz="4" w:space="0" w:color="auto"/>
            </w:tcBorders>
            <w:shd w:val="clear" w:color="auto" w:fill="auto"/>
            <w:hideMark/>
          </w:tcPr>
          <w:p w14:paraId="3F9637F3"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10 816 000</w:t>
            </w:r>
          </w:p>
        </w:tc>
        <w:tc>
          <w:tcPr>
            <w:tcW w:w="1800" w:type="dxa"/>
            <w:tcBorders>
              <w:top w:val="single" w:sz="4" w:space="0" w:color="auto"/>
              <w:left w:val="nil"/>
              <w:bottom w:val="single" w:sz="4" w:space="0" w:color="auto"/>
              <w:right w:val="single" w:sz="4" w:space="0" w:color="auto"/>
            </w:tcBorders>
            <w:shd w:val="clear" w:color="auto" w:fill="auto"/>
            <w:hideMark/>
          </w:tcPr>
          <w:p w14:paraId="00ED2E1D"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10 816 000</w:t>
            </w:r>
          </w:p>
        </w:tc>
        <w:tc>
          <w:tcPr>
            <w:tcW w:w="1220" w:type="dxa"/>
            <w:tcBorders>
              <w:top w:val="single" w:sz="4" w:space="0" w:color="auto"/>
              <w:left w:val="nil"/>
              <w:bottom w:val="single" w:sz="4" w:space="0" w:color="auto"/>
              <w:right w:val="single" w:sz="4" w:space="0" w:color="auto"/>
            </w:tcBorders>
            <w:shd w:val="clear" w:color="auto" w:fill="auto"/>
            <w:noWrap/>
            <w:hideMark/>
          </w:tcPr>
          <w:p w14:paraId="260EB0EE"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0</w:t>
            </w:r>
          </w:p>
        </w:tc>
        <w:tc>
          <w:tcPr>
            <w:tcW w:w="1020" w:type="dxa"/>
            <w:tcBorders>
              <w:top w:val="single" w:sz="4" w:space="0" w:color="auto"/>
              <w:left w:val="nil"/>
              <w:bottom w:val="single" w:sz="4" w:space="0" w:color="auto"/>
              <w:right w:val="single" w:sz="4" w:space="0" w:color="auto"/>
            </w:tcBorders>
            <w:shd w:val="clear" w:color="auto" w:fill="auto"/>
            <w:hideMark/>
          </w:tcPr>
          <w:p w14:paraId="1CA65C40"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N</w:t>
            </w:r>
          </w:p>
        </w:tc>
      </w:tr>
      <w:tr w:rsidR="00B67703" w:rsidRPr="00B67703" w14:paraId="5F5A5720" w14:textId="77777777" w:rsidTr="00B67703">
        <w:trPr>
          <w:trHeight w:val="510"/>
        </w:trPr>
        <w:tc>
          <w:tcPr>
            <w:tcW w:w="3760" w:type="dxa"/>
            <w:tcBorders>
              <w:top w:val="nil"/>
              <w:left w:val="single" w:sz="4" w:space="0" w:color="auto"/>
              <w:bottom w:val="single" w:sz="4" w:space="0" w:color="auto"/>
              <w:right w:val="single" w:sz="4" w:space="0" w:color="auto"/>
            </w:tcBorders>
            <w:shd w:val="clear" w:color="auto" w:fill="auto"/>
            <w:hideMark/>
          </w:tcPr>
          <w:p w14:paraId="3A442B94"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Valsts kases aizdevumi atbalsta programmu īstenošanai (neto), EUR</w:t>
            </w:r>
          </w:p>
        </w:tc>
        <w:tc>
          <w:tcPr>
            <w:tcW w:w="1260" w:type="dxa"/>
            <w:tcBorders>
              <w:top w:val="nil"/>
              <w:left w:val="nil"/>
              <w:bottom w:val="single" w:sz="4" w:space="0" w:color="auto"/>
              <w:right w:val="single" w:sz="4" w:space="0" w:color="auto"/>
            </w:tcBorders>
            <w:shd w:val="clear" w:color="auto" w:fill="auto"/>
            <w:noWrap/>
            <w:hideMark/>
          </w:tcPr>
          <w:p w14:paraId="6448963B"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18 767 000</w:t>
            </w:r>
          </w:p>
        </w:tc>
        <w:tc>
          <w:tcPr>
            <w:tcW w:w="1660" w:type="dxa"/>
            <w:tcBorders>
              <w:top w:val="nil"/>
              <w:left w:val="nil"/>
              <w:bottom w:val="single" w:sz="4" w:space="0" w:color="auto"/>
              <w:right w:val="single" w:sz="4" w:space="0" w:color="auto"/>
            </w:tcBorders>
            <w:shd w:val="clear" w:color="auto" w:fill="auto"/>
            <w:noWrap/>
            <w:hideMark/>
          </w:tcPr>
          <w:p w14:paraId="4FB84646"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18 767 000</w:t>
            </w:r>
          </w:p>
        </w:tc>
        <w:tc>
          <w:tcPr>
            <w:tcW w:w="1800" w:type="dxa"/>
            <w:tcBorders>
              <w:top w:val="nil"/>
              <w:left w:val="nil"/>
              <w:bottom w:val="single" w:sz="4" w:space="0" w:color="auto"/>
              <w:right w:val="single" w:sz="4" w:space="0" w:color="auto"/>
            </w:tcBorders>
            <w:shd w:val="clear" w:color="auto" w:fill="auto"/>
            <w:noWrap/>
            <w:hideMark/>
          </w:tcPr>
          <w:p w14:paraId="6B6CDA65"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18 553 000</w:t>
            </w:r>
          </w:p>
        </w:tc>
        <w:tc>
          <w:tcPr>
            <w:tcW w:w="1220" w:type="dxa"/>
            <w:tcBorders>
              <w:top w:val="nil"/>
              <w:left w:val="nil"/>
              <w:bottom w:val="single" w:sz="4" w:space="0" w:color="auto"/>
              <w:right w:val="single" w:sz="4" w:space="0" w:color="auto"/>
            </w:tcBorders>
            <w:shd w:val="clear" w:color="auto" w:fill="auto"/>
            <w:noWrap/>
            <w:hideMark/>
          </w:tcPr>
          <w:p w14:paraId="4A035545"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-214 000</w:t>
            </w:r>
          </w:p>
        </w:tc>
        <w:tc>
          <w:tcPr>
            <w:tcW w:w="1020" w:type="dxa"/>
            <w:tcBorders>
              <w:top w:val="nil"/>
              <w:left w:val="nil"/>
              <w:bottom w:val="single" w:sz="4" w:space="0" w:color="auto"/>
              <w:right w:val="single" w:sz="4" w:space="0" w:color="auto"/>
            </w:tcBorders>
            <w:shd w:val="clear" w:color="auto" w:fill="auto"/>
            <w:hideMark/>
          </w:tcPr>
          <w:p w14:paraId="7CEB0637"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-1%</w:t>
            </w:r>
          </w:p>
        </w:tc>
      </w:tr>
      <w:tr w:rsidR="00B67703" w:rsidRPr="00B67703" w14:paraId="44323F2E" w14:textId="77777777" w:rsidTr="00B67703">
        <w:trPr>
          <w:trHeight w:val="510"/>
        </w:trPr>
        <w:tc>
          <w:tcPr>
            <w:tcW w:w="3760" w:type="dxa"/>
            <w:tcBorders>
              <w:top w:val="nil"/>
              <w:left w:val="single" w:sz="4" w:space="0" w:color="auto"/>
              <w:bottom w:val="single" w:sz="4" w:space="0" w:color="auto"/>
              <w:right w:val="single" w:sz="4" w:space="0" w:color="auto"/>
            </w:tcBorders>
            <w:shd w:val="clear" w:color="auto" w:fill="auto"/>
            <w:hideMark/>
          </w:tcPr>
          <w:p w14:paraId="27CD5D3D" w14:textId="77777777" w:rsidR="00B67703" w:rsidRPr="00B67703" w:rsidRDefault="00B67703" w:rsidP="00B67703">
            <w:pPr>
              <w:spacing w:after="0" w:line="240" w:lineRule="auto"/>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 xml:space="preserve"> - Ar riska segumu nosegto uzkrājumu izmaiņa, EUR</w:t>
            </w:r>
          </w:p>
        </w:tc>
        <w:tc>
          <w:tcPr>
            <w:tcW w:w="1260" w:type="dxa"/>
            <w:tcBorders>
              <w:top w:val="nil"/>
              <w:left w:val="nil"/>
              <w:bottom w:val="single" w:sz="4" w:space="0" w:color="auto"/>
              <w:right w:val="single" w:sz="4" w:space="0" w:color="auto"/>
            </w:tcBorders>
            <w:shd w:val="clear" w:color="auto" w:fill="auto"/>
            <w:noWrap/>
            <w:hideMark/>
          </w:tcPr>
          <w:p w14:paraId="0C7EB53F"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368 000</w:t>
            </w:r>
          </w:p>
        </w:tc>
        <w:tc>
          <w:tcPr>
            <w:tcW w:w="1660" w:type="dxa"/>
            <w:tcBorders>
              <w:top w:val="nil"/>
              <w:left w:val="nil"/>
              <w:bottom w:val="single" w:sz="4" w:space="0" w:color="auto"/>
              <w:right w:val="single" w:sz="4" w:space="0" w:color="auto"/>
            </w:tcBorders>
            <w:shd w:val="clear" w:color="auto" w:fill="auto"/>
            <w:noWrap/>
            <w:hideMark/>
          </w:tcPr>
          <w:p w14:paraId="73FBDB52"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1 500 000</w:t>
            </w:r>
          </w:p>
        </w:tc>
        <w:tc>
          <w:tcPr>
            <w:tcW w:w="1800" w:type="dxa"/>
            <w:tcBorders>
              <w:top w:val="nil"/>
              <w:left w:val="nil"/>
              <w:bottom w:val="single" w:sz="4" w:space="0" w:color="auto"/>
              <w:right w:val="single" w:sz="4" w:space="0" w:color="auto"/>
            </w:tcBorders>
            <w:shd w:val="clear" w:color="auto" w:fill="auto"/>
            <w:noWrap/>
            <w:hideMark/>
          </w:tcPr>
          <w:p w14:paraId="2019C3CA" w14:textId="77777777" w:rsidR="00B67703" w:rsidRPr="00B67703" w:rsidRDefault="00B67703" w:rsidP="00B67703">
            <w:pPr>
              <w:spacing w:after="0" w:line="240" w:lineRule="auto"/>
              <w:jc w:val="right"/>
              <w:rPr>
                <w:rFonts w:ascii="Century Gothic" w:eastAsia="Times New Roman" w:hAnsi="Century Gothic" w:cs="Times New Roman"/>
                <w:color w:val="000000"/>
                <w:sz w:val="20"/>
                <w:szCs w:val="20"/>
                <w:lang w:eastAsia="lv-LV"/>
              </w:rPr>
            </w:pPr>
            <w:r w:rsidRPr="00B67703">
              <w:rPr>
                <w:rFonts w:ascii="Century Gothic" w:eastAsia="Times New Roman" w:hAnsi="Century Gothic" w:cs="Times New Roman"/>
                <w:color w:val="000000"/>
                <w:sz w:val="20"/>
                <w:szCs w:val="20"/>
                <w:lang w:eastAsia="lv-LV"/>
              </w:rPr>
              <w:t>1 299 000</w:t>
            </w:r>
          </w:p>
        </w:tc>
        <w:tc>
          <w:tcPr>
            <w:tcW w:w="1220" w:type="dxa"/>
            <w:tcBorders>
              <w:top w:val="nil"/>
              <w:left w:val="nil"/>
              <w:bottom w:val="single" w:sz="4" w:space="0" w:color="auto"/>
              <w:right w:val="single" w:sz="4" w:space="0" w:color="auto"/>
            </w:tcBorders>
            <w:shd w:val="clear" w:color="auto" w:fill="auto"/>
            <w:noWrap/>
            <w:hideMark/>
          </w:tcPr>
          <w:p w14:paraId="1778DE8C"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-201 000</w:t>
            </w:r>
          </w:p>
        </w:tc>
        <w:tc>
          <w:tcPr>
            <w:tcW w:w="1020" w:type="dxa"/>
            <w:tcBorders>
              <w:top w:val="nil"/>
              <w:left w:val="nil"/>
              <w:bottom w:val="single" w:sz="4" w:space="0" w:color="auto"/>
              <w:right w:val="single" w:sz="4" w:space="0" w:color="auto"/>
            </w:tcBorders>
            <w:shd w:val="clear" w:color="auto" w:fill="auto"/>
            <w:hideMark/>
          </w:tcPr>
          <w:p w14:paraId="12FE6340" w14:textId="77777777" w:rsidR="00B67703" w:rsidRPr="00B67703" w:rsidRDefault="00B67703" w:rsidP="00B67703">
            <w:pPr>
              <w:spacing w:after="0" w:line="240" w:lineRule="auto"/>
              <w:jc w:val="right"/>
              <w:rPr>
                <w:rFonts w:ascii="Century Gothic" w:eastAsia="Times New Roman" w:hAnsi="Century Gothic" w:cs="Times New Roman"/>
                <w:sz w:val="20"/>
                <w:szCs w:val="20"/>
                <w:lang w:eastAsia="lv-LV"/>
              </w:rPr>
            </w:pPr>
            <w:r w:rsidRPr="00B67703">
              <w:rPr>
                <w:rFonts w:ascii="Century Gothic" w:eastAsia="Times New Roman" w:hAnsi="Century Gothic" w:cs="Times New Roman"/>
                <w:sz w:val="20"/>
                <w:szCs w:val="20"/>
                <w:lang w:eastAsia="lv-LV"/>
              </w:rPr>
              <w:t>-13%</w:t>
            </w:r>
          </w:p>
        </w:tc>
      </w:tr>
    </w:tbl>
    <w:p w14:paraId="6EF81F70" w14:textId="77617DA5" w:rsidR="00B67703" w:rsidRPr="005A63E8" w:rsidRDefault="005A63E8" w:rsidP="00C232E9">
      <w:pPr>
        <w:tabs>
          <w:tab w:val="right" w:pos="8640"/>
        </w:tabs>
        <w:spacing w:after="0" w:line="276" w:lineRule="auto"/>
        <w:rPr>
          <w:rFonts w:ascii="Century Gothic" w:eastAsia="Calibri" w:hAnsi="Century Gothic" w:cs="Times New Roman"/>
          <w:bCs/>
          <w:sz w:val="20"/>
          <w:szCs w:val="20"/>
        </w:rPr>
      </w:pPr>
      <w:r>
        <w:rPr>
          <w:rFonts w:ascii="Century Gothic" w:eastAsia="Calibri" w:hAnsi="Century Gothic" w:cs="Times New Roman"/>
          <w:bCs/>
          <w:sz w:val="20"/>
          <w:szCs w:val="20"/>
        </w:rPr>
        <w:t xml:space="preserve">* </w:t>
      </w:r>
      <w:r w:rsidRPr="005A63E8">
        <w:rPr>
          <w:rFonts w:ascii="Century Gothic" w:eastAsia="Calibri" w:hAnsi="Century Gothic" w:cs="Times New Roman"/>
          <w:bCs/>
          <w:sz w:val="20"/>
          <w:szCs w:val="20"/>
        </w:rPr>
        <w:t>rādītājs "pamatdarbības neto naudas plūsma" 2020. gadā precizēts atbilstoši 2021. gada pārskata datiem.</w:t>
      </w:r>
    </w:p>
    <w:p w14:paraId="66C96291" w14:textId="77777777" w:rsidR="00B67703" w:rsidRDefault="00B67703" w:rsidP="00B67703">
      <w:pPr>
        <w:tabs>
          <w:tab w:val="right" w:pos="8640"/>
        </w:tabs>
        <w:spacing w:after="0" w:line="276" w:lineRule="auto"/>
        <w:rPr>
          <w:rFonts w:ascii="Century Gothic" w:eastAsia="Calibri" w:hAnsi="Century Gothic" w:cs="Times New Roman"/>
          <w:bCs/>
          <w:sz w:val="24"/>
          <w:szCs w:val="24"/>
        </w:rPr>
      </w:pPr>
    </w:p>
    <w:p w14:paraId="56D73BDA" w14:textId="4357F61C" w:rsidR="00B67703" w:rsidRPr="005A63E8" w:rsidRDefault="00B67703" w:rsidP="00B67703">
      <w:pPr>
        <w:tabs>
          <w:tab w:val="right" w:pos="8640"/>
        </w:tabs>
        <w:spacing w:after="0" w:line="276" w:lineRule="auto"/>
        <w:rPr>
          <w:rFonts w:ascii="Century Gothic" w:eastAsia="Calibri" w:hAnsi="Century Gothic" w:cs="Times New Roman"/>
          <w:bCs/>
          <w:sz w:val="24"/>
          <w:szCs w:val="24"/>
        </w:rPr>
      </w:pPr>
      <w:r w:rsidRPr="005A63E8">
        <w:rPr>
          <w:rFonts w:ascii="Century Gothic" w:eastAsia="Calibri" w:hAnsi="Century Gothic" w:cs="Times New Roman"/>
          <w:sz w:val="24"/>
          <w:szCs w:val="24"/>
          <w:lang w:eastAsia="lv-LV"/>
        </w:rPr>
        <w:t xml:space="preserve">AS “Attīstības finanšu institūcija </w:t>
      </w:r>
      <w:proofErr w:type="spellStart"/>
      <w:r w:rsidRPr="005A63E8">
        <w:rPr>
          <w:rFonts w:ascii="Century Gothic" w:eastAsia="Calibri" w:hAnsi="Century Gothic" w:cs="Times New Roman"/>
          <w:sz w:val="24"/>
          <w:szCs w:val="24"/>
          <w:lang w:eastAsia="lv-LV"/>
        </w:rPr>
        <w:t>Altum</w:t>
      </w:r>
      <w:proofErr w:type="spellEnd"/>
      <w:r w:rsidRPr="005A63E8">
        <w:rPr>
          <w:rFonts w:ascii="Century Gothic" w:eastAsia="Calibri" w:hAnsi="Century Gothic" w:cs="Times New Roman"/>
          <w:sz w:val="24"/>
          <w:szCs w:val="24"/>
          <w:lang w:eastAsia="lv-LV"/>
        </w:rPr>
        <w:t>” Koncerna un atsevišķais finanšu pārskats par gadu, kas noslēdzās 202</w:t>
      </w:r>
      <w:r w:rsidR="005A63E8" w:rsidRPr="005A63E8">
        <w:rPr>
          <w:rFonts w:ascii="Century Gothic" w:eastAsia="Calibri" w:hAnsi="Century Gothic" w:cs="Times New Roman"/>
          <w:sz w:val="24"/>
          <w:szCs w:val="24"/>
          <w:lang w:eastAsia="lv-LV"/>
        </w:rPr>
        <w:t>1</w:t>
      </w:r>
      <w:r w:rsidRPr="005A63E8">
        <w:rPr>
          <w:rFonts w:ascii="Century Gothic" w:eastAsia="Calibri" w:hAnsi="Century Gothic" w:cs="Times New Roman"/>
          <w:sz w:val="24"/>
          <w:szCs w:val="24"/>
          <w:lang w:eastAsia="lv-LV"/>
        </w:rPr>
        <w:t xml:space="preserve">. gada 31. decembrī, ir publiski pieejams elektroniskā veidā – interneta mājas lapā www.altum.lv, sadaļas „INVESTORIEM” </w:t>
      </w:r>
      <w:proofErr w:type="spellStart"/>
      <w:r w:rsidRPr="005A63E8">
        <w:rPr>
          <w:rFonts w:ascii="Century Gothic" w:eastAsia="Calibri" w:hAnsi="Century Gothic" w:cs="Times New Roman"/>
          <w:sz w:val="24"/>
          <w:szCs w:val="24"/>
          <w:lang w:eastAsia="lv-LV"/>
        </w:rPr>
        <w:t>apakšsadaļā</w:t>
      </w:r>
      <w:proofErr w:type="spellEnd"/>
      <w:r w:rsidRPr="005A63E8">
        <w:rPr>
          <w:rFonts w:ascii="Century Gothic" w:eastAsia="Calibri" w:hAnsi="Century Gothic" w:cs="Times New Roman"/>
          <w:sz w:val="24"/>
          <w:szCs w:val="24"/>
          <w:lang w:eastAsia="lv-LV"/>
        </w:rPr>
        <w:t xml:space="preserve"> “FINANŠU INFORMĀCIJA” un sadaļas “PAR ALTUM” </w:t>
      </w:r>
      <w:proofErr w:type="spellStart"/>
      <w:r w:rsidRPr="005A63E8">
        <w:rPr>
          <w:rFonts w:ascii="Century Gothic" w:eastAsia="Calibri" w:hAnsi="Century Gothic" w:cs="Times New Roman"/>
          <w:sz w:val="24"/>
          <w:szCs w:val="24"/>
          <w:lang w:eastAsia="lv-LV"/>
        </w:rPr>
        <w:t>apakšsadaļā</w:t>
      </w:r>
      <w:proofErr w:type="spellEnd"/>
      <w:r w:rsidRPr="005A63E8">
        <w:rPr>
          <w:rFonts w:ascii="Century Gothic" w:eastAsia="Calibri" w:hAnsi="Century Gothic" w:cs="Times New Roman"/>
          <w:sz w:val="24"/>
          <w:szCs w:val="24"/>
          <w:lang w:eastAsia="lv-LV"/>
        </w:rPr>
        <w:t xml:space="preserve"> “FINANŠU INFORMĀCIJA”. </w:t>
      </w:r>
    </w:p>
    <w:p w14:paraId="1A1FF89C" w14:textId="77777777" w:rsidR="00B67703" w:rsidRDefault="00B67703" w:rsidP="00B67703">
      <w:pPr>
        <w:tabs>
          <w:tab w:val="right" w:pos="8640"/>
        </w:tabs>
        <w:spacing w:after="0" w:line="276" w:lineRule="auto"/>
        <w:rPr>
          <w:rFonts w:ascii="Century Gothic" w:eastAsia="Calibri" w:hAnsi="Century Gothic" w:cs="Times New Roman"/>
          <w:b/>
          <w:sz w:val="24"/>
          <w:szCs w:val="24"/>
        </w:rPr>
      </w:pPr>
      <w:r w:rsidRPr="005A63E8">
        <w:rPr>
          <w:rFonts w:ascii="Century Gothic" w:eastAsia="Calibri" w:hAnsi="Century Gothic" w:cs="Times New Roman"/>
          <w:b/>
          <w:sz w:val="24"/>
          <w:szCs w:val="24"/>
        </w:rPr>
        <w:t>_</w:t>
      </w:r>
    </w:p>
    <w:sectPr w:rsidR="00B67703" w:rsidSect="00127A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84C6" w14:textId="77777777" w:rsidR="00173E1C" w:rsidRDefault="00173E1C" w:rsidP="0007581E">
      <w:pPr>
        <w:spacing w:after="0" w:line="240" w:lineRule="auto"/>
      </w:pPr>
      <w:r>
        <w:separator/>
      </w:r>
    </w:p>
  </w:endnote>
  <w:endnote w:type="continuationSeparator" w:id="0">
    <w:p w14:paraId="05B3F72E" w14:textId="77777777" w:rsidR="00173E1C" w:rsidRDefault="00173E1C" w:rsidP="0007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altName w:val="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61387"/>
      <w:docPartObj>
        <w:docPartGallery w:val="Page Numbers (Bottom of Page)"/>
        <w:docPartUnique/>
      </w:docPartObj>
    </w:sdtPr>
    <w:sdtEndPr>
      <w:rPr>
        <w:noProof/>
      </w:rPr>
    </w:sdtEndPr>
    <w:sdtContent>
      <w:p w14:paraId="3355F998" w14:textId="4C00345E" w:rsidR="0007581E" w:rsidRDefault="000758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3BE78" w14:textId="77777777" w:rsidR="0007581E" w:rsidRDefault="0007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763B" w14:textId="77777777" w:rsidR="00173E1C" w:rsidRDefault="00173E1C" w:rsidP="0007581E">
      <w:pPr>
        <w:spacing w:after="0" w:line="240" w:lineRule="auto"/>
      </w:pPr>
      <w:r>
        <w:separator/>
      </w:r>
    </w:p>
  </w:footnote>
  <w:footnote w:type="continuationSeparator" w:id="0">
    <w:p w14:paraId="7E2BD77F" w14:textId="77777777" w:rsidR="00173E1C" w:rsidRDefault="00173E1C" w:rsidP="0007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F30"/>
    <w:multiLevelType w:val="hybridMultilevel"/>
    <w:tmpl w:val="A14EA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942811"/>
    <w:multiLevelType w:val="hybridMultilevel"/>
    <w:tmpl w:val="C010BD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5B65D6"/>
    <w:multiLevelType w:val="hybridMultilevel"/>
    <w:tmpl w:val="2C90E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583564"/>
    <w:multiLevelType w:val="hybridMultilevel"/>
    <w:tmpl w:val="E81658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79F3C4D"/>
    <w:multiLevelType w:val="hybridMultilevel"/>
    <w:tmpl w:val="4600E736"/>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5" w15:restartNumberingAfterBreak="0">
    <w:nsid w:val="73001FE1"/>
    <w:multiLevelType w:val="hybridMultilevel"/>
    <w:tmpl w:val="82F0A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2554E3"/>
    <w:multiLevelType w:val="hybridMultilevel"/>
    <w:tmpl w:val="A20886DC"/>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4B"/>
    <w:rsid w:val="000352FA"/>
    <w:rsid w:val="00043134"/>
    <w:rsid w:val="0007581E"/>
    <w:rsid w:val="00083D93"/>
    <w:rsid w:val="000F349A"/>
    <w:rsid w:val="00127A4E"/>
    <w:rsid w:val="00153F45"/>
    <w:rsid w:val="00160DDA"/>
    <w:rsid w:val="00163B5C"/>
    <w:rsid w:val="001659FE"/>
    <w:rsid w:val="0016623C"/>
    <w:rsid w:val="00173E1C"/>
    <w:rsid w:val="001A0A7D"/>
    <w:rsid w:val="001C1E31"/>
    <w:rsid w:val="001C3AF0"/>
    <w:rsid w:val="001E5ED9"/>
    <w:rsid w:val="001F36DC"/>
    <w:rsid w:val="00223194"/>
    <w:rsid w:val="0024574B"/>
    <w:rsid w:val="00264C02"/>
    <w:rsid w:val="002A6273"/>
    <w:rsid w:val="002D750B"/>
    <w:rsid w:val="00377184"/>
    <w:rsid w:val="00385D35"/>
    <w:rsid w:val="00394026"/>
    <w:rsid w:val="003C231A"/>
    <w:rsid w:val="003C5FA2"/>
    <w:rsid w:val="003E1A92"/>
    <w:rsid w:val="00452ECD"/>
    <w:rsid w:val="00454D96"/>
    <w:rsid w:val="0049005E"/>
    <w:rsid w:val="004D10C0"/>
    <w:rsid w:val="004E2234"/>
    <w:rsid w:val="00506F01"/>
    <w:rsid w:val="00524DD9"/>
    <w:rsid w:val="005330F8"/>
    <w:rsid w:val="00562C98"/>
    <w:rsid w:val="00591310"/>
    <w:rsid w:val="005A63E8"/>
    <w:rsid w:val="005C43E0"/>
    <w:rsid w:val="005E689B"/>
    <w:rsid w:val="005F4F50"/>
    <w:rsid w:val="00664CE7"/>
    <w:rsid w:val="00666D51"/>
    <w:rsid w:val="006A0103"/>
    <w:rsid w:val="0073224A"/>
    <w:rsid w:val="007612AC"/>
    <w:rsid w:val="00764964"/>
    <w:rsid w:val="00774231"/>
    <w:rsid w:val="00806A44"/>
    <w:rsid w:val="00810E65"/>
    <w:rsid w:val="0082624B"/>
    <w:rsid w:val="0082782F"/>
    <w:rsid w:val="008853C1"/>
    <w:rsid w:val="008929B5"/>
    <w:rsid w:val="00896BA0"/>
    <w:rsid w:val="008A1A92"/>
    <w:rsid w:val="008B3DD0"/>
    <w:rsid w:val="008C759D"/>
    <w:rsid w:val="009163F2"/>
    <w:rsid w:val="00930F38"/>
    <w:rsid w:val="00936813"/>
    <w:rsid w:val="009A64ED"/>
    <w:rsid w:val="00A02455"/>
    <w:rsid w:val="00A24F19"/>
    <w:rsid w:val="00A275FD"/>
    <w:rsid w:val="00A473FA"/>
    <w:rsid w:val="00A557BB"/>
    <w:rsid w:val="00A97BBA"/>
    <w:rsid w:val="00AE4AAA"/>
    <w:rsid w:val="00AE57DB"/>
    <w:rsid w:val="00B1560A"/>
    <w:rsid w:val="00B4126A"/>
    <w:rsid w:val="00B523F0"/>
    <w:rsid w:val="00B54447"/>
    <w:rsid w:val="00B54B71"/>
    <w:rsid w:val="00B67703"/>
    <w:rsid w:val="00B679E8"/>
    <w:rsid w:val="00B75F7D"/>
    <w:rsid w:val="00B83E25"/>
    <w:rsid w:val="00B93EEC"/>
    <w:rsid w:val="00C232E9"/>
    <w:rsid w:val="00C41B0F"/>
    <w:rsid w:val="00C9768E"/>
    <w:rsid w:val="00CC6C28"/>
    <w:rsid w:val="00CD5919"/>
    <w:rsid w:val="00CD7C90"/>
    <w:rsid w:val="00D14286"/>
    <w:rsid w:val="00D47019"/>
    <w:rsid w:val="00D67DCF"/>
    <w:rsid w:val="00D976E8"/>
    <w:rsid w:val="00DA71A8"/>
    <w:rsid w:val="00DC0EE4"/>
    <w:rsid w:val="00DF3B0F"/>
    <w:rsid w:val="00E03F34"/>
    <w:rsid w:val="00E26B73"/>
    <w:rsid w:val="00E354F3"/>
    <w:rsid w:val="00E61CCD"/>
    <w:rsid w:val="00E64090"/>
    <w:rsid w:val="00E83F9B"/>
    <w:rsid w:val="00F134FF"/>
    <w:rsid w:val="00F41B7B"/>
    <w:rsid w:val="00F478AD"/>
    <w:rsid w:val="00F6703B"/>
    <w:rsid w:val="00F91F43"/>
    <w:rsid w:val="00FB2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C996"/>
  <w15:chartTrackingRefBased/>
  <w15:docId w15:val="{EB213E4D-FA26-4225-826C-DC83FCF1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F43"/>
    <w:pPr>
      <w:spacing w:after="0" w:line="240" w:lineRule="auto"/>
      <w:ind w:left="720"/>
      <w:contextualSpacing/>
    </w:pPr>
    <w:rPr>
      <w:rFonts w:ascii="Calibri" w:hAnsi="Calibri" w:cs="Times New Roman"/>
      <w:lang w:eastAsia="lv-LV"/>
    </w:rPr>
  </w:style>
  <w:style w:type="character" w:customStyle="1" w:styleId="ListParagraphChar">
    <w:name w:val="List Paragraph Char"/>
    <w:link w:val="ListParagraph"/>
    <w:uiPriority w:val="34"/>
    <w:locked/>
    <w:rsid w:val="00F91F43"/>
    <w:rPr>
      <w:rFonts w:ascii="Calibri" w:hAnsi="Calibri" w:cs="Times New Roman"/>
      <w:lang w:eastAsia="lv-LV"/>
    </w:rPr>
  </w:style>
  <w:style w:type="paragraph" w:styleId="BalloonText">
    <w:name w:val="Balloon Text"/>
    <w:basedOn w:val="Normal"/>
    <w:link w:val="BalloonTextChar"/>
    <w:uiPriority w:val="99"/>
    <w:semiHidden/>
    <w:unhideWhenUsed/>
    <w:rsid w:val="0037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84"/>
    <w:rPr>
      <w:rFonts w:ascii="Segoe UI" w:hAnsi="Segoe UI" w:cs="Segoe UI"/>
      <w:sz w:val="18"/>
      <w:szCs w:val="18"/>
    </w:rPr>
  </w:style>
  <w:style w:type="paragraph" w:styleId="Header">
    <w:name w:val="header"/>
    <w:basedOn w:val="Normal"/>
    <w:link w:val="HeaderChar"/>
    <w:uiPriority w:val="99"/>
    <w:unhideWhenUsed/>
    <w:rsid w:val="000758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581E"/>
  </w:style>
  <w:style w:type="paragraph" w:styleId="Footer">
    <w:name w:val="footer"/>
    <w:basedOn w:val="Normal"/>
    <w:link w:val="FooterChar"/>
    <w:uiPriority w:val="99"/>
    <w:unhideWhenUsed/>
    <w:rsid w:val="000758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581E"/>
  </w:style>
  <w:style w:type="paragraph" w:styleId="PlainText">
    <w:name w:val="Plain Text"/>
    <w:basedOn w:val="Normal"/>
    <w:link w:val="PlainTextChar"/>
    <w:uiPriority w:val="99"/>
    <w:unhideWhenUsed/>
    <w:rsid w:val="00385D3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85D3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9399">
      <w:bodyDiv w:val="1"/>
      <w:marLeft w:val="0"/>
      <w:marRight w:val="0"/>
      <w:marTop w:val="0"/>
      <w:marBottom w:val="0"/>
      <w:divBdr>
        <w:top w:val="none" w:sz="0" w:space="0" w:color="auto"/>
        <w:left w:val="none" w:sz="0" w:space="0" w:color="auto"/>
        <w:bottom w:val="none" w:sz="0" w:space="0" w:color="auto"/>
        <w:right w:val="none" w:sz="0" w:space="0" w:color="auto"/>
      </w:divBdr>
    </w:div>
    <w:div w:id="402719385">
      <w:bodyDiv w:val="1"/>
      <w:marLeft w:val="0"/>
      <w:marRight w:val="0"/>
      <w:marTop w:val="0"/>
      <w:marBottom w:val="0"/>
      <w:divBdr>
        <w:top w:val="none" w:sz="0" w:space="0" w:color="auto"/>
        <w:left w:val="none" w:sz="0" w:space="0" w:color="auto"/>
        <w:bottom w:val="none" w:sz="0" w:space="0" w:color="auto"/>
        <w:right w:val="none" w:sz="0" w:space="0" w:color="auto"/>
      </w:divBdr>
    </w:div>
    <w:div w:id="1071075704">
      <w:bodyDiv w:val="1"/>
      <w:marLeft w:val="0"/>
      <w:marRight w:val="0"/>
      <w:marTop w:val="0"/>
      <w:marBottom w:val="0"/>
      <w:divBdr>
        <w:top w:val="none" w:sz="0" w:space="0" w:color="auto"/>
        <w:left w:val="none" w:sz="0" w:space="0" w:color="auto"/>
        <w:bottom w:val="none" w:sz="0" w:space="0" w:color="auto"/>
        <w:right w:val="none" w:sz="0" w:space="0" w:color="auto"/>
      </w:divBdr>
    </w:div>
    <w:div w:id="1170830586">
      <w:bodyDiv w:val="1"/>
      <w:marLeft w:val="0"/>
      <w:marRight w:val="0"/>
      <w:marTop w:val="0"/>
      <w:marBottom w:val="0"/>
      <w:divBdr>
        <w:top w:val="none" w:sz="0" w:space="0" w:color="auto"/>
        <w:left w:val="none" w:sz="0" w:space="0" w:color="auto"/>
        <w:bottom w:val="none" w:sz="0" w:space="0" w:color="auto"/>
        <w:right w:val="none" w:sz="0" w:space="0" w:color="auto"/>
      </w:divBdr>
    </w:div>
    <w:div w:id="16435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8D9C-879F-4CFF-8666-5C28D449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11452</Words>
  <Characters>6529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Paņko</dc:creator>
  <cp:keywords/>
  <dc:description/>
  <cp:lastModifiedBy>Andrejs Buharins</cp:lastModifiedBy>
  <cp:revision>2</cp:revision>
  <cp:lastPrinted>2020-05-11T08:16:00Z</cp:lastPrinted>
  <dcterms:created xsi:type="dcterms:W3CDTF">2022-06-08T12:23:00Z</dcterms:created>
  <dcterms:modified xsi:type="dcterms:W3CDTF">2022-06-08T12:23:00Z</dcterms:modified>
</cp:coreProperties>
</file>