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A9F7" w14:textId="77777777" w:rsidR="008F3A23" w:rsidRPr="00FD0F03" w:rsidRDefault="008F3A23" w:rsidP="00724F6B">
      <w:pPr>
        <w:spacing w:after="120"/>
        <w:contextualSpacing/>
        <w:jc w:val="right"/>
        <w:rPr>
          <w:sz w:val="22"/>
          <w:szCs w:val="22"/>
          <w:u w:val="single"/>
        </w:rPr>
      </w:pPr>
    </w:p>
    <w:p w14:paraId="497A88AC" w14:textId="516AD64A" w:rsidR="00D92825" w:rsidRPr="00EE2522" w:rsidRDefault="00D92825" w:rsidP="00724F6B">
      <w:pPr>
        <w:spacing w:after="120"/>
        <w:contextualSpacing/>
        <w:jc w:val="right"/>
      </w:pPr>
      <w:r>
        <w:t>Apstiprināti 202</w:t>
      </w:r>
      <w:r w:rsidR="00A83628">
        <w:t>2</w:t>
      </w:r>
      <w:r>
        <w:t xml:space="preserve">.gada </w:t>
      </w:r>
      <w:r w:rsidR="00EE2522">
        <w:t>9</w:t>
      </w:r>
      <w:r w:rsidR="00EE2522" w:rsidRPr="00EE2522">
        <w:t>.</w:t>
      </w:r>
      <w:r w:rsidR="00032E03" w:rsidRPr="00EE2522">
        <w:t>maijā</w:t>
      </w:r>
    </w:p>
    <w:p w14:paraId="55725352" w14:textId="6AE7C4E2" w:rsidR="00D92825" w:rsidRDefault="00D92825" w:rsidP="00724F6B">
      <w:pPr>
        <w:spacing w:after="120"/>
        <w:contextualSpacing/>
        <w:jc w:val="right"/>
      </w:pPr>
      <w:r>
        <w:t>Portfeļgarantiju programm</w:t>
      </w:r>
      <w:r w:rsidR="00EE2522">
        <w:t>as</w:t>
      </w:r>
      <w:r>
        <w:t xml:space="preserve"> kredītiestāžu</w:t>
      </w:r>
    </w:p>
    <w:p w14:paraId="1B37C081" w14:textId="77777777" w:rsidR="00D92825" w:rsidRDefault="00D92825" w:rsidP="00724F6B">
      <w:pPr>
        <w:spacing w:after="120"/>
        <w:contextualSpacing/>
        <w:jc w:val="right"/>
      </w:pPr>
      <w:r>
        <w:t xml:space="preserve"> pieteikšanās dokumentācijas izstrādes un </w:t>
      </w:r>
    </w:p>
    <w:p w14:paraId="6E0B24B5" w14:textId="1DF35605" w:rsidR="00020359" w:rsidRDefault="00D92825" w:rsidP="00724F6B">
      <w:pPr>
        <w:spacing w:after="120"/>
        <w:contextualSpacing/>
        <w:jc w:val="right"/>
      </w:pPr>
      <w:r>
        <w:t>vērtēšanas komisijas sēdē</w:t>
      </w:r>
    </w:p>
    <w:p w14:paraId="076384E5" w14:textId="77777777" w:rsidR="00D92825" w:rsidRDefault="00D92825" w:rsidP="00724F6B">
      <w:pPr>
        <w:pStyle w:val="Heading1"/>
        <w:spacing w:after="120"/>
        <w:contextualSpacing/>
        <w:rPr>
          <w:rFonts w:ascii="Times New Roman" w:hAnsi="Times New Roman"/>
          <w:szCs w:val="28"/>
        </w:rPr>
      </w:pPr>
    </w:p>
    <w:p w14:paraId="3C8C2EC9" w14:textId="2E0816E8" w:rsidR="00020359" w:rsidRPr="00F9741B" w:rsidRDefault="00020359" w:rsidP="00724F6B">
      <w:pPr>
        <w:pStyle w:val="Heading1"/>
        <w:spacing w:after="120"/>
        <w:contextualSpacing/>
        <w:rPr>
          <w:rFonts w:ascii="Times New Roman" w:hAnsi="Times New Roman"/>
          <w:szCs w:val="28"/>
        </w:rPr>
      </w:pPr>
      <w:r w:rsidRPr="00F9741B">
        <w:rPr>
          <w:rFonts w:ascii="Times New Roman" w:hAnsi="Times New Roman"/>
          <w:szCs w:val="28"/>
        </w:rPr>
        <w:t xml:space="preserve">Portfeļgarantiju programmas kredītiestāžu atlases </w:t>
      </w:r>
      <w:r w:rsidR="00EA6A0C">
        <w:rPr>
          <w:rFonts w:ascii="Times New Roman" w:hAnsi="Times New Roman"/>
          <w:szCs w:val="28"/>
        </w:rPr>
        <w:t>trešās</w:t>
      </w:r>
      <w:r w:rsidR="00734C35">
        <w:rPr>
          <w:rFonts w:ascii="Times New Roman" w:hAnsi="Times New Roman"/>
          <w:szCs w:val="28"/>
        </w:rPr>
        <w:t xml:space="preserve"> kārtas</w:t>
      </w:r>
    </w:p>
    <w:p w14:paraId="68EBB8BF" w14:textId="6E2A4DCC" w:rsidR="00751B39" w:rsidRDefault="00020359" w:rsidP="00724F6B">
      <w:pPr>
        <w:pStyle w:val="Heading1"/>
        <w:spacing w:after="120"/>
        <w:contextualSpacing/>
        <w:rPr>
          <w:rFonts w:ascii="Times New Roman" w:hAnsi="Times New Roman"/>
          <w:szCs w:val="28"/>
        </w:rPr>
      </w:pPr>
      <w:r w:rsidRPr="00F9741B">
        <w:rPr>
          <w:rFonts w:ascii="Times New Roman" w:hAnsi="Times New Roman"/>
          <w:szCs w:val="28"/>
        </w:rPr>
        <w:t>NOTEIKUMI</w:t>
      </w:r>
    </w:p>
    <w:p w14:paraId="67F76F5D" w14:textId="77777777" w:rsidR="00724F6B" w:rsidRPr="00724F6B" w:rsidRDefault="00724F6B" w:rsidP="00724F6B"/>
    <w:p w14:paraId="361B6E86" w14:textId="79472B61" w:rsidR="008C114A" w:rsidRDefault="00ED1418" w:rsidP="00ED1418">
      <w:pPr>
        <w:spacing w:after="120"/>
        <w:jc w:val="center"/>
        <w:rPr>
          <w:b/>
        </w:rPr>
      </w:pPr>
      <w:r>
        <w:rPr>
          <w:b/>
        </w:rPr>
        <w:t xml:space="preserve">I </w:t>
      </w:r>
      <w:r w:rsidR="008C114A" w:rsidRPr="00F9741B">
        <w:rPr>
          <w:b/>
        </w:rPr>
        <w:t>Vispārīgā informācija</w:t>
      </w:r>
    </w:p>
    <w:p w14:paraId="5BA6F964" w14:textId="6CD38697" w:rsidR="00D10036" w:rsidRPr="00D10036" w:rsidRDefault="00634AD2" w:rsidP="00D10036">
      <w:pPr>
        <w:pStyle w:val="ListParagraph"/>
        <w:numPr>
          <w:ilvl w:val="0"/>
          <w:numId w:val="24"/>
        </w:numPr>
        <w:spacing w:after="120"/>
        <w:jc w:val="both"/>
        <w:rPr>
          <w:b/>
        </w:rPr>
      </w:pPr>
      <w:r>
        <w:t>Pieteikšanās portfeļgarantiju programmai (turpmāk –</w:t>
      </w:r>
      <w:r w:rsidR="00D92825">
        <w:t xml:space="preserve"> </w:t>
      </w:r>
      <w:r>
        <w:t xml:space="preserve">Programma) notiek saskaņā ar </w:t>
      </w:r>
      <w:r w:rsidR="00F4338A">
        <w:t>2017</w:t>
      </w:r>
      <w:r>
        <w:t xml:space="preserve">.gada </w:t>
      </w:r>
      <w:r w:rsidR="00F4338A">
        <w:t>5</w:t>
      </w:r>
      <w:r>
        <w:t>.</w:t>
      </w:r>
      <w:r w:rsidR="00F4338A">
        <w:t xml:space="preserve">septembra </w:t>
      </w:r>
      <w:r>
        <w:t xml:space="preserve">Ministru kabineta noteikumiem </w:t>
      </w:r>
      <w:r w:rsidR="001A49C3">
        <w:t>n</w:t>
      </w:r>
      <w:r>
        <w:t>r. 537 “</w:t>
      </w:r>
      <w:hyperlink r:id="rId8" w:history="1">
        <w:r w:rsidRPr="00634AD2">
          <w:rPr>
            <w:rStyle w:val="Hyperlink"/>
          </w:rPr>
          <w:t xml:space="preserve">Noteikumi par </w:t>
        </w:r>
        <w:r w:rsidR="005A320B" w:rsidRPr="00634AD2">
          <w:rPr>
            <w:rStyle w:val="Hyperlink"/>
          </w:rPr>
          <w:t>portfeļgarantijām</w:t>
        </w:r>
        <w:r w:rsidRPr="00634AD2">
          <w:rPr>
            <w:rStyle w:val="Hyperlink"/>
          </w:rPr>
          <w:t xml:space="preserve"> sīko (mikro), mazo un vidējo komersantu kreditēšanas veicināšanai</w:t>
        </w:r>
      </w:hyperlink>
      <w:r>
        <w:t xml:space="preserve">” (turpmāk – MK noteikumi </w:t>
      </w:r>
      <w:r w:rsidR="001A49C3">
        <w:t>n</w:t>
      </w:r>
      <w:r>
        <w:t>r. 537).</w:t>
      </w:r>
    </w:p>
    <w:p w14:paraId="1687F2E1" w14:textId="160518C0" w:rsidR="00634AD2" w:rsidRPr="004B5F32" w:rsidRDefault="00634AD2" w:rsidP="004B5F32">
      <w:pPr>
        <w:pStyle w:val="ListParagraph"/>
        <w:numPr>
          <w:ilvl w:val="0"/>
          <w:numId w:val="24"/>
        </w:numPr>
        <w:spacing w:after="120"/>
        <w:jc w:val="both"/>
      </w:pPr>
      <w:r>
        <w:t>Pieteikumu dalībai Programmā var iesniegt kredītiestāde</w:t>
      </w:r>
      <w:r w:rsidR="00F4338A">
        <w:t xml:space="preserve"> (t.sk. tās filiāle)</w:t>
      </w:r>
      <w:r w:rsidR="004B5F32">
        <w:t xml:space="preserve">, </w:t>
      </w:r>
      <w:r w:rsidR="004B5F32" w:rsidRPr="004B5F32">
        <w:t>kredītiestādes meitas sabiedrība</w:t>
      </w:r>
      <w:r w:rsidR="00B03B80">
        <w:t xml:space="preserve"> (vai šo personu apvienība)</w:t>
      </w:r>
      <w:r w:rsidR="004B5F32" w:rsidRPr="004B5F32">
        <w:t>, kura reģistrēta Latvijā un ir tiesīga sniegt finanšu pakalpojumus Latvijā</w:t>
      </w:r>
      <w:r>
        <w:t xml:space="preserve"> (turpmāk – Pretendents). </w:t>
      </w:r>
    </w:p>
    <w:p w14:paraId="0E4EA30E" w14:textId="77777777" w:rsidR="002E7718" w:rsidRPr="002E7718" w:rsidRDefault="00634AD2" w:rsidP="002E7718">
      <w:pPr>
        <w:pStyle w:val="ListParagraph"/>
        <w:numPr>
          <w:ilvl w:val="0"/>
          <w:numId w:val="24"/>
        </w:numPr>
        <w:spacing w:after="120"/>
        <w:jc w:val="both"/>
        <w:rPr>
          <w:b/>
        </w:rPr>
      </w:pPr>
      <w:r>
        <w:t xml:space="preserve">Pieteikšanos Programmai un iesniegto pieteikumu izvērtēšanu organizē akciju sabiedrība „Attīstības finanšu institūcija Altum” (turpmāk – ALTUM), reģ.nr.50103744891, adrese: Doma laukums 4, Rīga, LV-1050, tālrunis +371 6777 4010, altum@altum.lv. </w:t>
      </w:r>
    </w:p>
    <w:p w14:paraId="24289286" w14:textId="4A6E7853" w:rsidR="00634AD2" w:rsidRPr="002E7718" w:rsidRDefault="00634AD2" w:rsidP="002E7718">
      <w:pPr>
        <w:pStyle w:val="ListParagraph"/>
        <w:numPr>
          <w:ilvl w:val="0"/>
          <w:numId w:val="24"/>
        </w:numPr>
        <w:spacing w:after="120"/>
        <w:jc w:val="both"/>
      </w:pPr>
      <w:r>
        <w:t xml:space="preserve">ALTUM kontaktpersona, kura ir pilnvarota sniegt paskaidrojumus par šiem noteikumiem un saņemt Pretendentu pieteikumus: </w:t>
      </w:r>
      <w:r w:rsidR="002B4772">
        <w:t>Gatis Sniedziņš, e-pasts gatis.sniedzins@altum.lv, tālr. +371 26548006</w:t>
      </w:r>
      <w:r w:rsidR="002E7718" w:rsidRPr="002E7718">
        <w:t>.</w:t>
      </w:r>
      <w:r>
        <w:t xml:space="preserve"> </w:t>
      </w:r>
    </w:p>
    <w:p w14:paraId="60193163" w14:textId="0B0AE4D8" w:rsidR="00634AD2" w:rsidRPr="00634AD2" w:rsidRDefault="00634AD2" w:rsidP="00B56154">
      <w:pPr>
        <w:pStyle w:val="ListParagraph"/>
        <w:numPr>
          <w:ilvl w:val="0"/>
          <w:numId w:val="24"/>
        </w:numPr>
        <w:spacing w:after="120"/>
        <w:jc w:val="both"/>
        <w:rPr>
          <w:b/>
        </w:rPr>
      </w:pPr>
      <w:r>
        <w:t xml:space="preserve">ALTUM izsludina pieteikšanos Programmā ALTUM tīmekļvietnē </w:t>
      </w:r>
      <w:hyperlink r:id="rId9" w:history="1">
        <w:r w:rsidR="0049115F" w:rsidRPr="0049115F">
          <w:rPr>
            <w:rStyle w:val="Hyperlink"/>
          </w:rPr>
          <w:t>https://www.altum.lv</w:t>
        </w:r>
      </w:hyperlink>
      <w:r>
        <w:t xml:space="preserve">, sadaļā Par Altum/Iepirkumi un izsoles/Izsoles, kā arī informē kredītiestādes par iespēju pieteikties finansējumam ar Latvijas Finanšu nozares asociācijas starpniecību. ALTUM var publiskot informāciju par pieteikšanos Programmai plašsaziņas līdzekļos. </w:t>
      </w:r>
    </w:p>
    <w:p w14:paraId="44EA932D" w14:textId="0B18F3DA" w:rsidR="00B56154" w:rsidRPr="002E497D" w:rsidRDefault="00634AD2" w:rsidP="00B56154">
      <w:pPr>
        <w:pStyle w:val="ListParagraph"/>
        <w:numPr>
          <w:ilvl w:val="0"/>
          <w:numId w:val="24"/>
        </w:numPr>
        <w:spacing w:after="120"/>
        <w:jc w:val="both"/>
        <w:rPr>
          <w:b/>
        </w:rPr>
      </w:pPr>
      <w:r>
        <w:t>Piesakoties dalībai Programmā, Pretendents iesniedz aizpildītu pieteikumu (pielikums nr.1). Pretendents norāda, vai pieteikums satur informācijas sadaļas, kas ir konfidenciālas.</w:t>
      </w:r>
    </w:p>
    <w:p w14:paraId="26E6B9E6" w14:textId="3BF9DA08" w:rsidR="00C468B5" w:rsidRPr="00634AD2" w:rsidRDefault="00C468B5" w:rsidP="00C468B5">
      <w:pPr>
        <w:pStyle w:val="ListParagraph"/>
        <w:numPr>
          <w:ilvl w:val="0"/>
          <w:numId w:val="24"/>
        </w:numPr>
        <w:spacing w:after="120"/>
        <w:jc w:val="both"/>
        <w:rPr>
          <w:b/>
        </w:rPr>
      </w:pPr>
      <w:r>
        <w:t>Katrs pretendents drīkst iesniegt vienu pieteikumu</w:t>
      </w:r>
      <w:r w:rsidR="005E7E67">
        <w:t>, sagatavojot to, latviešu vai angļu valodā.</w:t>
      </w:r>
    </w:p>
    <w:p w14:paraId="501AD12F" w14:textId="77777777" w:rsidR="00B56154" w:rsidRPr="00B56154" w:rsidRDefault="00634AD2" w:rsidP="00B56154">
      <w:pPr>
        <w:pStyle w:val="ListParagraph"/>
        <w:numPr>
          <w:ilvl w:val="0"/>
          <w:numId w:val="24"/>
        </w:numPr>
        <w:spacing w:after="120"/>
        <w:jc w:val="both"/>
        <w:rPr>
          <w:b/>
        </w:rPr>
      </w:pPr>
      <w:r>
        <w:t xml:space="preserve">Pieteikuma dokumentus noformē elektroniskā dokumenta formā, atbilstoši šo noteikumu prasībām un paraksta ar drošu elektronisko parakstu un laika zīmogu. Pieteikuma dokumentus paraksta persona ar Pretendenta pārstāvības tiesībām vai speciāli pilnvarots pārstāvis. </w:t>
      </w:r>
    </w:p>
    <w:p w14:paraId="7BC78BF1" w14:textId="1C8018A7" w:rsidR="00B56154" w:rsidRPr="00B56154" w:rsidRDefault="00634AD2" w:rsidP="00B56154">
      <w:pPr>
        <w:pStyle w:val="ListParagraph"/>
        <w:numPr>
          <w:ilvl w:val="0"/>
          <w:numId w:val="24"/>
        </w:numPr>
        <w:spacing w:after="120"/>
        <w:jc w:val="both"/>
        <w:rPr>
          <w:b/>
        </w:rPr>
      </w:pPr>
      <w:r>
        <w:t xml:space="preserve">Pieteikuma dokumentiem jābūt skaidri salasāmiem, lai izvairītos no jebkādiem pārpratumiem. Vārdiem un skaitļiem jābūt bez iestarpinājumiem vai labojumiem. Ja  pastāvēs pretrunas starp skaitlisko vērtību apzīmējumiem ar vārdiem un skaitļiem, noteicošais būs apzīmējums ar vārdiem. </w:t>
      </w:r>
    </w:p>
    <w:p w14:paraId="58FC6676" w14:textId="77777777" w:rsidR="00B56154" w:rsidRPr="00B56154" w:rsidRDefault="00634AD2" w:rsidP="00B56154">
      <w:pPr>
        <w:pStyle w:val="ListParagraph"/>
        <w:numPr>
          <w:ilvl w:val="0"/>
          <w:numId w:val="24"/>
        </w:numPr>
        <w:spacing w:after="120"/>
        <w:jc w:val="both"/>
        <w:rPr>
          <w:b/>
        </w:rPr>
      </w:pPr>
      <w:r>
        <w:t xml:space="preserve">Pretendents var pieprasīt papildu informāciju par noteikumiem un iesniedzamo informāciju, nosūtot to uz 4.punktā norādīto kontaktpersonas e-pasta adresi. </w:t>
      </w:r>
    </w:p>
    <w:p w14:paraId="319FED78" w14:textId="0A18D3B4" w:rsidR="00D8376F" w:rsidRPr="00D8376F" w:rsidRDefault="00634AD2" w:rsidP="00D8376F">
      <w:pPr>
        <w:pStyle w:val="ListParagraph"/>
        <w:numPr>
          <w:ilvl w:val="0"/>
          <w:numId w:val="24"/>
        </w:numPr>
        <w:spacing w:after="120"/>
        <w:jc w:val="both"/>
        <w:rPr>
          <w:b/>
        </w:rPr>
      </w:pPr>
      <w:r>
        <w:t>Pretendents iesniedz pieteikumu, nosūtot to uz noteikumu 4.punktā norādīto kontaktpersonas e-pasta adresi</w:t>
      </w:r>
      <w:r w:rsidR="0049115F">
        <w:t xml:space="preserve"> </w:t>
      </w:r>
      <w:r>
        <w:t xml:space="preserve">ne vēlāk kā </w:t>
      </w:r>
      <w:r w:rsidRPr="00D1057A">
        <w:rPr>
          <w:b/>
          <w:bCs/>
        </w:rPr>
        <w:t>līdz 202</w:t>
      </w:r>
      <w:r w:rsidR="00B56154" w:rsidRPr="00D1057A">
        <w:rPr>
          <w:b/>
          <w:bCs/>
        </w:rPr>
        <w:t>2</w:t>
      </w:r>
      <w:r w:rsidRPr="00D1057A">
        <w:rPr>
          <w:b/>
          <w:bCs/>
        </w:rPr>
        <w:t>.gada</w:t>
      </w:r>
      <w:r w:rsidR="00B03B80" w:rsidRPr="00D1057A">
        <w:rPr>
          <w:b/>
          <w:bCs/>
        </w:rPr>
        <w:t xml:space="preserve"> 6.jūnija</w:t>
      </w:r>
      <w:r w:rsidRPr="00D1057A">
        <w:rPr>
          <w:b/>
          <w:bCs/>
        </w:rPr>
        <w:t xml:space="preserve"> plkst.17.00;</w:t>
      </w:r>
    </w:p>
    <w:p w14:paraId="1F78EC3C" w14:textId="05300C26" w:rsidR="00D8376F" w:rsidRPr="004B5F32" w:rsidRDefault="00D8376F" w:rsidP="00D8376F">
      <w:pPr>
        <w:pStyle w:val="ListParagraph"/>
        <w:numPr>
          <w:ilvl w:val="0"/>
          <w:numId w:val="24"/>
        </w:numPr>
        <w:spacing w:after="120"/>
        <w:jc w:val="both"/>
        <w:rPr>
          <w:b/>
        </w:rPr>
      </w:pPr>
      <w:r w:rsidRPr="00B523C7">
        <w:t>Ja līdz 11.</w:t>
      </w:r>
      <w:r w:rsidRPr="004B5F32">
        <w:t>punktā noteiktajam termiņam pieteikumus ir iesniegušas mazāk kā četras kredītiestādes, ALTUM var pagarināt pieteikumu pieņemšanas termiņu</w:t>
      </w:r>
      <w:r w:rsidR="004E2549">
        <w:t>.</w:t>
      </w:r>
    </w:p>
    <w:p w14:paraId="73D4507C" w14:textId="757E64CC" w:rsidR="00D8376F" w:rsidRPr="00D8376F" w:rsidRDefault="00D8376F" w:rsidP="00D8376F">
      <w:pPr>
        <w:pStyle w:val="ListParagraph"/>
        <w:numPr>
          <w:ilvl w:val="0"/>
          <w:numId w:val="24"/>
        </w:numPr>
        <w:spacing w:after="120"/>
        <w:jc w:val="both"/>
        <w:rPr>
          <w:b/>
        </w:rPr>
      </w:pPr>
      <w:r w:rsidRPr="004B5F32">
        <w:t>Portfeļgarantiju programmas kredītiestāžu pieteikšanās dokumentācijas</w:t>
      </w:r>
      <w:r>
        <w:t xml:space="preserve"> izstrādes un vērtēšanas komisija (izveidota ar ALTUM 2022.gada </w:t>
      </w:r>
      <w:r w:rsidR="00B523C7" w:rsidRPr="00B523C7">
        <w:t>23</w:t>
      </w:r>
      <w:r w:rsidRPr="00B523C7">
        <w:t>.februāra</w:t>
      </w:r>
      <w:r>
        <w:t xml:space="preserve"> valdes lēmumu </w:t>
      </w:r>
      <w:r w:rsidR="00A83628" w:rsidRPr="00A83628">
        <w:t>(</w:t>
      </w:r>
      <w:r w:rsidR="00B03B80">
        <w:t xml:space="preserve">valdes sēdes </w:t>
      </w:r>
      <w:r w:rsidR="00A83628" w:rsidRPr="00A83628">
        <w:t>protokols Nr.15)</w:t>
      </w:r>
      <w:r w:rsidR="002E7718">
        <w:t xml:space="preserve">, </w:t>
      </w:r>
      <w:r>
        <w:t xml:space="preserve">turpmāk - ALTUM komisija) pieteikumus vērtē neatkarīgi no iesniegto pieteikumu skaita. </w:t>
      </w:r>
    </w:p>
    <w:p w14:paraId="4D5EA6F9" w14:textId="77777777" w:rsidR="00D8376F" w:rsidRPr="00D8376F" w:rsidRDefault="00D8376F" w:rsidP="00D8376F">
      <w:pPr>
        <w:pStyle w:val="ListParagraph"/>
        <w:numPr>
          <w:ilvl w:val="0"/>
          <w:numId w:val="24"/>
        </w:numPr>
        <w:spacing w:after="120"/>
        <w:jc w:val="both"/>
        <w:rPr>
          <w:b/>
        </w:rPr>
      </w:pPr>
      <w:r>
        <w:t>Pretendents ir tiesīgs grozīt vai atsaukt iesniegto pieteikumu, rakstiski par to paziņojot ALTUM. Pieteikuma vērtēšanas laikā atbilstoši ALTUM uzdotajiem jautājumiem Pretendents var precizēt, papildināt, skaidrot, labot pieteikumu un veikt citas izmaiņas.</w:t>
      </w:r>
    </w:p>
    <w:p w14:paraId="400F06C4" w14:textId="66524577" w:rsidR="00D8376F" w:rsidRPr="00D8376F" w:rsidRDefault="00D8376F" w:rsidP="00D8376F">
      <w:pPr>
        <w:pStyle w:val="ListParagraph"/>
        <w:numPr>
          <w:ilvl w:val="0"/>
          <w:numId w:val="24"/>
        </w:numPr>
        <w:spacing w:after="120"/>
        <w:jc w:val="both"/>
        <w:rPr>
          <w:b/>
        </w:rPr>
      </w:pPr>
      <w:r>
        <w:lastRenderedPageBreak/>
        <w:t>Visas izmaksas, kas saistītas ar pieteikuma sagatavošanu, Pretendents sedz no saviem līdzekļiem.</w:t>
      </w:r>
    </w:p>
    <w:p w14:paraId="661CE232" w14:textId="0CEDE019" w:rsidR="00ED1418" w:rsidRPr="00ED1418" w:rsidRDefault="00B56154" w:rsidP="00B56154">
      <w:pPr>
        <w:pStyle w:val="ListParagraph"/>
        <w:numPr>
          <w:ilvl w:val="0"/>
          <w:numId w:val="24"/>
        </w:numPr>
        <w:spacing w:after="120"/>
        <w:jc w:val="both"/>
        <w:rPr>
          <w:b/>
        </w:rPr>
      </w:pPr>
      <w:r>
        <w:t>Iesniedzot pieteikumu, Pretendents apliecina, ka tas visā Programm</w:t>
      </w:r>
      <w:r w:rsidR="00EE2522">
        <w:t>as</w:t>
      </w:r>
      <w:r>
        <w:t xml:space="preserve"> īstenošanas laikā ievēros MK noteikumu </w:t>
      </w:r>
      <w:r w:rsidR="001A49C3">
        <w:t>n</w:t>
      </w:r>
      <w:r>
        <w:t>r.</w:t>
      </w:r>
      <w:r w:rsidR="00ED1418">
        <w:t xml:space="preserve"> 537</w:t>
      </w:r>
      <w:r>
        <w:t xml:space="preserve"> nosacījumus, kā arī Pretendenta pieteikumā norādīto</w:t>
      </w:r>
      <w:r w:rsidR="00ED1418">
        <w:t>.</w:t>
      </w:r>
    </w:p>
    <w:p w14:paraId="1E2EC655" w14:textId="77777777" w:rsidR="00ED1418" w:rsidRPr="00ED1418" w:rsidRDefault="00ED1418" w:rsidP="00ED1418">
      <w:pPr>
        <w:pStyle w:val="ListParagraph"/>
        <w:numPr>
          <w:ilvl w:val="0"/>
          <w:numId w:val="24"/>
        </w:numPr>
        <w:spacing w:after="120"/>
        <w:jc w:val="both"/>
        <w:rPr>
          <w:b/>
        </w:rPr>
      </w:pPr>
      <w:r>
        <w:t xml:space="preserve"> ALTUM ir tiesības publiskot informāciju par atlases rezultātiem.</w:t>
      </w:r>
    </w:p>
    <w:p w14:paraId="09AE3DB9" w14:textId="77777777" w:rsidR="004E2549" w:rsidRDefault="004E2549" w:rsidP="004E2549">
      <w:pPr>
        <w:pStyle w:val="ListParagraph"/>
        <w:spacing w:after="120"/>
        <w:ind w:left="360"/>
        <w:jc w:val="center"/>
        <w:rPr>
          <w:b/>
          <w:bCs/>
        </w:rPr>
      </w:pPr>
    </w:p>
    <w:p w14:paraId="493AFCAB" w14:textId="546281DE" w:rsidR="004E2549" w:rsidRDefault="004E2549" w:rsidP="00A60D45">
      <w:pPr>
        <w:pStyle w:val="ListParagraph"/>
        <w:spacing w:after="120"/>
        <w:ind w:left="360"/>
        <w:jc w:val="center"/>
        <w:rPr>
          <w:b/>
          <w:bCs/>
        </w:rPr>
      </w:pPr>
      <w:r>
        <w:rPr>
          <w:b/>
          <w:bCs/>
        </w:rPr>
        <w:t>I</w:t>
      </w:r>
      <w:r w:rsidRPr="004E2549">
        <w:rPr>
          <w:b/>
          <w:bCs/>
        </w:rPr>
        <w:t xml:space="preserve">I </w:t>
      </w:r>
      <w:r>
        <w:rPr>
          <w:b/>
          <w:bCs/>
        </w:rPr>
        <w:t>Informācija par atlases priekšmetu</w:t>
      </w:r>
    </w:p>
    <w:p w14:paraId="621CF544" w14:textId="77777777" w:rsidR="00BD5670" w:rsidRPr="004E2549" w:rsidRDefault="00BD5670" w:rsidP="00BD5670">
      <w:pPr>
        <w:pStyle w:val="ListParagraph"/>
        <w:spacing w:after="120"/>
        <w:ind w:left="360"/>
        <w:rPr>
          <w:b/>
          <w:bCs/>
        </w:rPr>
      </w:pPr>
    </w:p>
    <w:p w14:paraId="1B62368B" w14:textId="166E38AB" w:rsidR="002E79F6" w:rsidRPr="002E79F6" w:rsidRDefault="002E79F6" w:rsidP="002E79F6">
      <w:pPr>
        <w:pStyle w:val="ListParagraph"/>
        <w:numPr>
          <w:ilvl w:val="0"/>
          <w:numId w:val="24"/>
        </w:numPr>
        <w:spacing w:after="120"/>
        <w:jc w:val="both"/>
      </w:pPr>
      <w:r w:rsidRPr="002E79F6">
        <w:t xml:space="preserve">Portfeļgarantiju programmas mērķis ir veicināt finansējuma pieejamību komersantiem biznesa projektu īstenošanai un palielināt kredītiestāžu izsniegto aizdevumu apjomu tirgus nepilnību izvērtējumā norādītajās situācijās (kredītiestādes ierobežoti kreditē komersantus, kuriem ir nepietiekams nodrošinājums vai nepietiekama kredītvēsture). Portfeļgarantiju programmas mērķis ir mazināt kreditēšanas risku un veicināt finanšu pakalpojumu sniegšanu komersantiem saimnieciskās darbības uzsākšanai, jaunu projektu īstenošanai, jaunu tirgu apguvei, jaunu attīstības virzienu apguvei, kā arī citiem mērķiem, kas pamato finansējuma nepieciešamību saimnieciskās darbības </w:t>
      </w:r>
      <w:r>
        <w:t xml:space="preserve">uzsākšanai, </w:t>
      </w:r>
      <w:r w:rsidRPr="002E79F6">
        <w:t>paplašināšanai</w:t>
      </w:r>
      <w:r>
        <w:t xml:space="preserve"> vai veicināšanai</w:t>
      </w:r>
      <w:r w:rsidRPr="002E79F6">
        <w:t xml:space="preserve">. </w:t>
      </w:r>
    </w:p>
    <w:p w14:paraId="21D33A81" w14:textId="66DEAB7B" w:rsidR="002E79F6" w:rsidRPr="002E79F6" w:rsidRDefault="002E79F6" w:rsidP="002E79F6">
      <w:pPr>
        <w:pStyle w:val="ListParagraph"/>
        <w:numPr>
          <w:ilvl w:val="0"/>
          <w:numId w:val="24"/>
        </w:numPr>
        <w:spacing w:after="120"/>
        <w:jc w:val="both"/>
      </w:pPr>
      <w:r w:rsidRPr="002E79F6">
        <w:t xml:space="preserve">Atlases mērķis ir izvēlēties pretendentu, kas ievieš Portfeļgarantiju programmu atbilstoši MK noteikumiem </w:t>
      </w:r>
      <w:r w:rsidR="00FB17F4">
        <w:t>n</w:t>
      </w:r>
      <w:r w:rsidRPr="002E79F6">
        <w:t>r.537, šiem atlases nosacījumiem un veido jaunu aizdevumu portfeli.</w:t>
      </w:r>
    </w:p>
    <w:p w14:paraId="3F782FB2" w14:textId="2108FECD" w:rsidR="002E79F6" w:rsidRPr="002E79F6" w:rsidRDefault="002E79F6" w:rsidP="002E79F6">
      <w:pPr>
        <w:pStyle w:val="ListParagraph"/>
        <w:numPr>
          <w:ilvl w:val="0"/>
          <w:numId w:val="24"/>
        </w:numPr>
        <w:spacing w:after="120"/>
        <w:jc w:val="both"/>
      </w:pPr>
      <w:r>
        <w:t xml:space="preserve">Programmas </w:t>
      </w:r>
      <w:r w:rsidRPr="002E79F6">
        <w:t>ietvaros pretendents sniedz komersantiem jaunus finanšu pakalpojumus</w:t>
      </w:r>
      <w:r w:rsidR="00B03B80">
        <w:t xml:space="preserve"> (aiz</w:t>
      </w:r>
      <w:r w:rsidR="00B03B80" w:rsidRPr="00B03B80">
        <w:t>devumi investīciju veikšanai un apgrozāmo līdzekļu finansēšanai, finanšu līzings</w:t>
      </w:r>
      <w:r w:rsidR="00B03B80">
        <w:t>)</w:t>
      </w:r>
      <w:r w:rsidRPr="002E79F6">
        <w:t xml:space="preserve"> un veido jaunu aizdevumu portfeli. </w:t>
      </w:r>
    </w:p>
    <w:p w14:paraId="6D0266F1" w14:textId="77777777" w:rsidR="00F01508" w:rsidRDefault="002E79F6" w:rsidP="002E79F6">
      <w:pPr>
        <w:pStyle w:val="ListParagraph"/>
        <w:numPr>
          <w:ilvl w:val="0"/>
          <w:numId w:val="24"/>
        </w:numPr>
        <w:spacing w:after="120"/>
        <w:jc w:val="both"/>
      </w:pPr>
      <w:r w:rsidRPr="002E79F6">
        <w:t>Pretendents sniedz finanšu pakalpojumus komersantiem no Pretendenta līdzekļiem.</w:t>
      </w:r>
    </w:p>
    <w:p w14:paraId="00CA886C" w14:textId="0765899E" w:rsidR="002E79F6" w:rsidRPr="002E79F6" w:rsidRDefault="00F01508" w:rsidP="002E79F6">
      <w:pPr>
        <w:pStyle w:val="ListParagraph"/>
        <w:numPr>
          <w:ilvl w:val="0"/>
          <w:numId w:val="24"/>
        </w:numPr>
        <w:spacing w:after="120"/>
        <w:jc w:val="both"/>
      </w:pPr>
      <w:r w:rsidRPr="002E79F6">
        <w:t>Pretendents</w:t>
      </w:r>
      <w:r w:rsidRPr="00F01508">
        <w:t xml:space="preserve"> iekļauj finanšu pakalpojumus portfelī divus gadus no līguma noslēgšanas ar </w:t>
      </w:r>
      <w:r>
        <w:t>ALTUM</w:t>
      </w:r>
      <w:r w:rsidRPr="00F01508">
        <w:t xml:space="preserve">. </w:t>
      </w:r>
      <w:r>
        <w:t xml:space="preserve">ALTUM </w:t>
      </w:r>
      <w:r w:rsidRPr="00F01508">
        <w:t xml:space="preserve">un </w:t>
      </w:r>
      <w:r w:rsidRPr="002E79F6">
        <w:t xml:space="preserve">Pretendents </w:t>
      </w:r>
      <w:r w:rsidRPr="00F01508">
        <w:t>var vienoties par šā termiņa pagarināšanu, bet ne ilgāk kā par diviem gadiem</w:t>
      </w:r>
      <w:r w:rsidR="00FB17F4">
        <w:t>.</w:t>
      </w:r>
      <w:r w:rsidR="002E79F6" w:rsidRPr="002E79F6">
        <w:t xml:space="preserve"> </w:t>
      </w:r>
    </w:p>
    <w:p w14:paraId="74E05905" w14:textId="68018AEC" w:rsidR="002E79F6" w:rsidRPr="002E79F6" w:rsidRDefault="002E79F6" w:rsidP="002E79F6">
      <w:pPr>
        <w:pStyle w:val="ListParagraph"/>
        <w:numPr>
          <w:ilvl w:val="0"/>
          <w:numId w:val="24"/>
        </w:numPr>
        <w:spacing w:after="120"/>
        <w:jc w:val="both"/>
      </w:pPr>
      <w:r w:rsidRPr="002E79F6">
        <w:t xml:space="preserve">Atbilstošie aizdevumu portfelī iekļautie finanšu pakalpojumi tiek garantēti līdz 80%  (maksimālā garantijas likme 80%*) saskaņā ar pretendenta kreditēšanas stratēģijā norādīto. Pretendenta kredītrisks jebkurā gadījumā nav mazāks par 20%* no finanšu pakalpojuma summas saskaņā ar </w:t>
      </w:r>
      <w:r w:rsidRPr="002E79F6">
        <w:rPr>
          <w:i/>
          <w:iCs/>
        </w:rPr>
        <w:t>pari passu</w:t>
      </w:r>
      <w:r w:rsidRPr="002E79F6">
        <w:t xml:space="preserve"> principu.  </w:t>
      </w:r>
    </w:p>
    <w:p w14:paraId="5DC40116" w14:textId="706EA936" w:rsidR="002E79F6" w:rsidRPr="002E79F6" w:rsidRDefault="002E79F6" w:rsidP="002E79F6">
      <w:pPr>
        <w:pStyle w:val="ListParagraph"/>
        <w:numPr>
          <w:ilvl w:val="0"/>
          <w:numId w:val="24"/>
        </w:numPr>
        <w:spacing w:after="120"/>
        <w:jc w:val="both"/>
      </w:pPr>
      <w:r w:rsidRPr="002E79F6">
        <w:t>Ierobežotās garantijas likme (</w:t>
      </w:r>
      <w:r w:rsidR="00C468B5" w:rsidRPr="002E497D">
        <w:rPr>
          <w:i/>
          <w:iCs/>
        </w:rPr>
        <w:t>cap rate</w:t>
      </w:r>
      <w:r w:rsidRPr="002E79F6">
        <w:t>) nepārsniedz 17.5%* no garantiju portfeļa.</w:t>
      </w:r>
    </w:p>
    <w:p w14:paraId="436AA081" w14:textId="5AD8CD1B" w:rsidR="002E79F6" w:rsidRPr="002E79F6" w:rsidRDefault="002E79F6" w:rsidP="002E79F6">
      <w:pPr>
        <w:pStyle w:val="ListParagraph"/>
        <w:numPr>
          <w:ilvl w:val="0"/>
          <w:numId w:val="24"/>
        </w:numPr>
        <w:spacing w:after="120"/>
        <w:jc w:val="both"/>
      </w:pPr>
      <w:r w:rsidRPr="002E79F6">
        <w:t>Maksimālā summa, ko Sabiedrība izmaksā pretendentam par garantijas gadījumu, nepārsniedz tā brīža garantiju portfeļa ierobežotās garantijas summu</w:t>
      </w:r>
      <w:r w:rsidR="00C468B5">
        <w:t xml:space="preserve"> </w:t>
      </w:r>
      <w:r w:rsidR="00C468B5" w:rsidRPr="002E79F6">
        <w:t>(</w:t>
      </w:r>
      <w:r w:rsidR="00C468B5" w:rsidRPr="00625FD2">
        <w:rPr>
          <w:i/>
          <w:iCs/>
        </w:rPr>
        <w:t xml:space="preserve">cap </w:t>
      </w:r>
      <w:r w:rsidR="00C468B5">
        <w:rPr>
          <w:i/>
          <w:iCs/>
        </w:rPr>
        <w:t>amount</w:t>
      </w:r>
      <w:r w:rsidR="00C468B5" w:rsidRPr="002E79F6">
        <w:t>)</w:t>
      </w:r>
      <w:r w:rsidRPr="002E79F6">
        <w:t xml:space="preserve">. </w:t>
      </w:r>
    </w:p>
    <w:p w14:paraId="6C9C43D6" w14:textId="4BBE769C" w:rsidR="002E79F6" w:rsidRPr="002E79F6" w:rsidRDefault="002E79F6" w:rsidP="002E79F6">
      <w:pPr>
        <w:pStyle w:val="ListParagraph"/>
        <w:numPr>
          <w:ilvl w:val="0"/>
          <w:numId w:val="24"/>
        </w:numPr>
        <w:spacing w:after="120"/>
        <w:jc w:val="both"/>
      </w:pPr>
      <w:r w:rsidRPr="002E79F6">
        <w:t>Garantijas likmi un ierobežotās garantijas likmi pretendents pamato kreditēšanas stratēģijā (pielikums nr.</w:t>
      </w:r>
      <w:r w:rsidR="00C468B5">
        <w:t>1</w:t>
      </w:r>
      <w:r w:rsidRPr="002E79F6">
        <w:t>) atbilstoši pretendenta vēsturiskajiem aizdevumu portfeļa rādītājiem (zaudējumi un atgūtās summas), plānotajiem aizdevumu portfelī iekļaujamajiem finanšu pakalpojumu zaudējumiem, atgūstamajām summām un citai atbilstošai informācijai.</w:t>
      </w:r>
    </w:p>
    <w:p w14:paraId="41E353D1" w14:textId="0BFA26D2" w:rsidR="002E79F6" w:rsidRDefault="002E79F6" w:rsidP="002E79F6">
      <w:pPr>
        <w:pStyle w:val="ListParagraph"/>
        <w:numPr>
          <w:ilvl w:val="0"/>
          <w:numId w:val="24"/>
        </w:numPr>
        <w:spacing w:after="120"/>
        <w:jc w:val="both"/>
      </w:pPr>
      <w:r w:rsidRPr="002E79F6">
        <w:t>Visas Portfeļgarantiju programmas finansiālās priekšrocības</w:t>
      </w:r>
      <w:r w:rsidR="00C468B5">
        <w:t>*</w:t>
      </w:r>
      <w:r w:rsidR="009669AA">
        <w:rPr>
          <w:rStyle w:val="FootnoteReference"/>
        </w:rPr>
        <w:footnoteReference w:id="1"/>
      </w:r>
      <w:r w:rsidRPr="002E79F6">
        <w:t xml:space="preserve"> pretendenti pilnībā nodod komersantiem samazinātas finanšu pakalpojumu </w:t>
      </w:r>
      <w:r w:rsidRPr="00013C19">
        <w:t>procentu likmes veidā. Iesniedzot</w:t>
      </w:r>
      <w:r w:rsidRPr="002E79F6">
        <w:t xml:space="preserve"> pieteikumu, pretendents kreditēšanas stratēģijā (pielikums nr.</w:t>
      </w:r>
      <w:r w:rsidR="00C468B5">
        <w:t>1</w:t>
      </w:r>
      <w:r w:rsidRPr="002E79F6">
        <w:t>) ar finanšu pakalpojumu procentu likmes noteikšanas metodiku vai citiem iekšējiem normatīvajiem aktiem pamato finansiālo priekšrocību nodošanu komersantiem. Ja pretendents nenodod visas Portfeļgarantiju programmas finansiālās priekšrocības komersantiem, valsts atbalsts iespējams pretendenta līmenī, un pretendenta pienākums ir izslēgt šādus darījumus no portfeļa un finansiālās priekšrocības atmaksāt Sabiedrībai.</w:t>
      </w:r>
    </w:p>
    <w:p w14:paraId="16AFF619" w14:textId="77777777" w:rsidR="00BD5670" w:rsidRPr="002E79F6" w:rsidRDefault="00BD5670" w:rsidP="00BD5670">
      <w:pPr>
        <w:pStyle w:val="ListParagraph"/>
        <w:spacing w:after="120"/>
        <w:ind w:left="360"/>
        <w:jc w:val="both"/>
      </w:pPr>
    </w:p>
    <w:p w14:paraId="1E451944" w14:textId="3AA6B091" w:rsidR="00ED1418" w:rsidRDefault="004E2549" w:rsidP="005F112C">
      <w:pPr>
        <w:spacing w:after="120"/>
        <w:jc w:val="center"/>
        <w:rPr>
          <w:b/>
          <w:bCs/>
        </w:rPr>
      </w:pPr>
      <w:r>
        <w:rPr>
          <w:b/>
          <w:bCs/>
        </w:rPr>
        <w:lastRenderedPageBreak/>
        <w:t>I</w:t>
      </w:r>
      <w:r w:rsidR="00ED1418" w:rsidRPr="00ED1418">
        <w:rPr>
          <w:b/>
          <w:bCs/>
        </w:rPr>
        <w:t>II Programmas ieviešanas nosacījumi</w:t>
      </w:r>
    </w:p>
    <w:p w14:paraId="3355F064" w14:textId="424B09AE" w:rsidR="00ED1418" w:rsidRPr="00ED1418" w:rsidRDefault="00ED1418" w:rsidP="00ED1418">
      <w:pPr>
        <w:pStyle w:val="ListParagraph"/>
        <w:numPr>
          <w:ilvl w:val="0"/>
          <w:numId w:val="24"/>
        </w:numPr>
        <w:spacing w:after="120"/>
        <w:jc w:val="both"/>
        <w:rPr>
          <w:b/>
          <w:bCs/>
        </w:rPr>
      </w:pPr>
      <w:r>
        <w:t xml:space="preserve">Programmas ietvaros tiek sniegts </w:t>
      </w:r>
      <w:r w:rsidR="00A60D45" w:rsidRPr="00A60D45">
        <w:rPr>
          <w:i/>
          <w:iCs/>
        </w:rPr>
        <w:t>de minimis</w:t>
      </w:r>
      <w:r>
        <w:t xml:space="preserve"> atbalsts saskaņā ar Komisijas 2013. gada 18. decembra Regulu (ES) Nr. 1407/2013 par Līguma par Eiropas Savienības darbību 107. un 108.panta piemērošanu </w:t>
      </w:r>
      <w:r w:rsidR="00A60D45" w:rsidRPr="00A60D45">
        <w:rPr>
          <w:i/>
          <w:iCs/>
        </w:rPr>
        <w:t>de minimis</w:t>
      </w:r>
      <w:r>
        <w:t xml:space="preserve"> atbalstam (Eiropas Savienības Oficiālais Vēstnesis, 2013. gada 24. decembris, Nr. L 352) (turpmāk – Komisijas regula Nr. 1407/2013). </w:t>
      </w:r>
    </w:p>
    <w:p w14:paraId="29E1E30A" w14:textId="77777777" w:rsidR="00ED1418" w:rsidRPr="00ED1418" w:rsidRDefault="00ED1418" w:rsidP="00ED1418">
      <w:pPr>
        <w:pStyle w:val="ListParagraph"/>
        <w:numPr>
          <w:ilvl w:val="0"/>
          <w:numId w:val="24"/>
        </w:numPr>
        <w:spacing w:after="120"/>
        <w:jc w:val="both"/>
        <w:rPr>
          <w:b/>
          <w:bCs/>
        </w:rPr>
      </w:pPr>
      <w:r>
        <w:t xml:space="preserve">Programmas ieviešanā ir piemērojami šādi tiesību akti: </w:t>
      </w:r>
    </w:p>
    <w:p w14:paraId="4A547561" w14:textId="77777777" w:rsidR="00ED1418" w:rsidRPr="00ED1418" w:rsidRDefault="00ED1418" w:rsidP="00ED1418">
      <w:pPr>
        <w:pStyle w:val="ListParagraph"/>
        <w:numPr>
          <w:ilvl w:val="1"/>
          <w:numId w:val="24"/>
        </w:numPr>
        <w:spacing w:after="120"/>
        <w:jc w:val="both"/>
        <w:rPr>
          <w:b/>
          <w:bCs/>
        </w:rPr>
      </w:pPr>
      <w:r>
        <w:t xml:space="preserve">Komisijas regula Nr. 1407/2013; </w:t>
      </w:r>
    </w:p>
    <w:p w14:paraId="52927C24" w14:textId="7EEB2CBD" w:rsidR="00FB48E2" w:rsidRPr="00FB48E2" w:rsidRDefault="00ED1418" w:rsidP="00ED1418">
      <w:pPr>
        <w:pStyle w:val="ListParagraph"/>
        <w:numPr>
          <w:ilvl w:val="1"/>
          <w:numId w:val="24"/>
        </w:numPr>
        <w:spacing w:after="120"/>
        <w:jc w:val="both"/>
        <w:rPr>
          <w:b/>
          <w:bCs/>
        </w:rPr>
      </w:pPr>
      <w:r>
        <w:t xml:space="preserve">MK noteikumi </w:t>
      </w:r>
      <w:r w:rsidR="001A49C3">
        <w:t>n</w:t>
      </w:r>
      <w:r>
        <w:t>r. 537</w:t>
      </w:r>
      <w:r w:rsidR="00176804">
        <w:t>;</w:t>
      </w:r>
      <w:r>
        <w:t xml:space="preserve"> </w:t>
      </w:r>
    </w:p>
    <w:p w14:paraId="03B9730B" w14:textId="5A60DE7E" w:rsidR="00176804" w:rsidRPr="008A42B4" w:rsidRDefault="00ED1418" w:rsidP="00176804">
      <w:pPr>
        <w:pStyle w:val="ListParagraph"/>
        <w:numPr>
          <w:ilvl w:val="1"/>
          <w:numId w:val="24"/>
        </w:numPr>
        <w:tabs>
          <w:tab w:val="clear" w:pos="928"/>
        </w:tabs>
        <w:spacing w:after="120"/>
        <w:ind w:left="284" w:firstLine="283"/>
        <w:jc w:val="both"/>
        <w:rPr>
          <w:b/>
          <w:bCs/>
        </w:rPr>
      </w:pPr>
      <w:r>
        <w:t>Komisijas 2014. gada 17. jūnija Regulas (ES) Nr. 651/2014, ar ko noteiktas atbalsta kategorijas atzīst par saderīgām ar iekšējo tirgu, piemērojot Līguma 107. un 108. pantu (turpmāk – Komisijas regula Nr. 651/2014) (Eiropas Savienības Oficiālais Vēstnesis, 2014. gada 26. jūnijs, Nr. L 187), 1. pielikumā noteiktā mikrouzņēmumu, mazo un vidējo uzņēmumu definīcija</w:t>
      </w:r>
      <w:r w:rsidR="00FB48E2">
        <w:rPr>
          <w:rStyle w:val="FootnoteReference"/>
        </w:rPr>
        <w:footnoteReference w:id="2"/>
      </w:r>
      <w:r>
        <w:t>;</w:t>
      </w:r>
    </w:p>
    <w:p w14:paraId="51447E29" w14:textId="1D021581" w:rsidR="008A42B4" w:rsidRPr="00F97574" w:rsidRDefault="008A42B4" w:rsidP="00F97574">
      <w:pPr>
        <w:pStyle w:val="BodyTextIndent3"/>
        <w:numPr>
          <w:ilvl w:val="1"/>
          <w:numId w:val="24"/>
        </w:numPr>
        <w:spacing w:after="120"/>
        <w:rPr>
          <w:b/>
          <w:bCs/>
        </w:rPr>
      </w:pPr>
      <w:r w:rsidRPr="004C62AF">
        <w:t xml:space="preserve">Komisijas 2014.gada 11.septembra īstenošanas </w:t>
      </w:r>
      <w:r>
        <w:t>R</w:t>
      </w:r>
      <w:r w:rsidRPr="004C62AF">
        <w:t xml:space="preserve">egula (ES) Nr.964/2014, kurā izklāstīti noteikumi par Eiropas Parlamenta un padomes </w:t>
      </w:r>
      <w:r>
        <w:t>R</w:t>
      </w:r>
      <w:r w:rsidRPr="004C62AF">
        <w:t>egulas (ES) Nr.1303/2013 piemērošanu attiecībā uz standarta noteikumiem un nosacījumiem par finanšu instrumentiem (turpmāk – Regula Nr.964/2014)</w:t>
      </w:r>
      <w:r>
        <w:t>,</w:t>
      </w:r>
      <w:r w:rsidRPr="004C62AF">
        <w:t xml:space="preserve"> ciktāl tā attiecas uz valsts atbalsta jautājumiem un programmas nosacījumiem.</w:t>
      </w:r>
    </w:p>
    <w:p w14:paraId="39F8E293" w14:textId="73FFADFB" w:rsidR="00176804" w:rsidRPr="00176804" w:rsidRDefault="00176804" w:rsidP="00176804">
      <w:pPr>
        <w:pStyle w:val="ListParagraph"/>
        <w:numPr>
          <w:ilvl w:val="0"/>
          <w:numId w:val="24"/>
        </w:numPr>
        <w:spacing w:after="120"/>
        <w:jc w:val="both"/>
        <w:rPr>
          <w:b/>
          <w:bCs/>
        </w:rPr>
      </w:pPr>
      <w:r>
        <w:t xml:space="preserve">ALTUM var paplašināt finanšu pakalpojumu veidu un apjomu, ja ALTUM šiem mērķiem pieejams finansējums no Eiropas Savienības fondiem, starptautiskām finanšu institūcijām, valsts budžeta vai citiem resursiem vai tiek veikti </w:t>
      </w:r>
      <w:r w:rsidR="00F01508">
        <w:t xml:space="preserve">grozījumi </w:t>
      </w:r>
      <w:r>
        <w:t>MK noteikumos</w:t>
      </w:r>
      <w:r w:rsidR="009669AA">
        <w:t xml:space="preserve"> nr.</w:t>
      </w:r>
      <w:r w:rsidR="00FB17F4">
        <w:t xml:space="preserve"> </w:t>
      </w:r>
      <w:r w:rsidR="009669AA">
        <w:t>537</w:t>
      </w:r>
      <w:r>
        <w:t>. Šādā gadījumā Programm</w:t>
      </w:r>
      <w:r w:rsidR="00EE2522">
        <w:t>as</w:t>
      </w:r>
      <w:r>
        <w:t xml:space="preserve"> īstenošanas nosacījumi var tikt precizēti atbilstoši minētā finansējuma saņemšanas nosacījumiem.</w:t>
      </w:r>
    </w:p>
    <w:p w14:paraId="4C17855D" w14:textId="444855E5" w:rsidR="000D1DA0" w:rsidRPr="000D1DA0" w:rsidRDefault="00FB48E2" w:rsidP="00FB48E2">
      <w:pPr>
        <w:pStyle w:val="ListParagraph"/>
        <w:numPr>
          <w:ilvl w:val="0"/>
          <w:numId w:val="24"/>
        </w:numPr>
        <w:spacing w:after="120"/>
        <w:jc w:val="both"/>
        <w:rPr>
          <w:b/>
          <w:bCs/>
        </w:rPr>
      </w:pPr>
      <w:r w:rsidRPr="000D1DA0">
        <w:t>Garantijas prēmija</w:t>
      </w:r>
      <w:r w:rsidR="00176804">
        <w:t xml:space="preserve"> ir vienreizēja</w:t>
      </w:r>
      <w:r w:rsidR="000D1DA0" w:rsidRPr="000D1DA0">
        <w:t xml:space="preserve"> </w:t>
      </w:r>
      <w:r w:rsidR="009669AA">
        <w:t xml:space="preserve">maksa </w:t>
      </w:r>
      <w:r w:rsidR="000D1DA0" w:rsidRPr="000D1DA0">
        <w:t>no</w:t>
      </w:r>
      <w:r w:rsidRPr="000D1DA0">
        <w:t xml:space="preserve"> garantijas segtās finanšu pakalpojumu summas</w:t>
      </w:r>
      <w:r w:rsidR="000D1DA0" w:rsidRPr="000D1DA0">
        <w:t>:</w:t>
      </w:r>
    </w:p>
    <w:p w14:paraId="6F947D6C" w14:textId="77777777" w:rsidR="000D1DA0" w:rsidRPr="000D1DA0" w:rsidRDefault="000D1DA0" w:rsidP="000D1DA0">
      <w:pPr>
        <w:pStyle w:val="tv213"/>
        <w:numPr>
          <w:ilvl w:val="1"/>
          <w:numId w:val="24"/>
        </w:numPr>
        <w:shd w:val="clear" w:color="auto" w:fill="FFFFFF"/>
        <w:spacing w:before="0" w:beforeAutospacing="0" w:after="0" w:afterAutospacing="0" w:line="293" w:lineRule="atLeast"/>
        <w:jc w:val="both"/>
      </w:pPr>
      <w:bookmarkStart w:id="0" w:name="_Ref102977756"/>
      <w:r w:rsidRPr="000D1DA0">
        <w:t>finanšu pakalpojumiem ar termiņu līdz diviem gadiem – 0,8 %;</w:t>
      </w:r>
      <w:bookmarkEnd w:id="0"/>
    </w:p>
    <w:p w14:paraId="724F7464" w14:textId="77777777" w:rsidR="0098008C" w:rsidRDefault="000D1DA0" w:rsidP="00176804">
      <w:pPr>
        <w:pStyle w:val="ListParagraph"/>
        <w:numPr>
          <w:ilvl w:val="1"/>
          <w:numId w:val="24"/>
        </w:numPr>
        <w:spacing w:after="120"/>
        <w:jc w:val="both"/>
      </w:pPr>
      <w:bookmarkStart w:id="1" w:name="_Ref102977759"/>
      <w:r w:rsidRPr="000D1DA0">
        <w:t>finanšu pakalpojumiem ar termiņu virs diviem gadiem – 1,42 %</w:t>
      </w:r>
      <w:r w:rsidR="0098008C">
        <w:t>;</w:t>
      </w:r>
      <w:bookmarkEnd w:id="1"/>
    </w:p>
    <w:p w14:paraId="1C0FF716" w14:textId="0254E175" w:rsidR="00176804" w:rsidRDefault="0098008C" w:rsidP="00176804">
      <w:pPr>
        <w:pStyle w:val="ListParagraph"/>
        <w:numPr>
          <w:ilvl w:val="1"/>
          <w:numId w:val="24"/>
        </w:numPr>
        <w:spacing w:after="120"/>
        <w:jc w:val="both"/>
      </w:pPr>
      <w:r>
        <w:t xml:space="preserve">pagarinot finanšu pakalpojuma darbības termiņu ar Sabiedrības garantiju, ievērojot MK noteikumu nr.537 nosacījumus, atkārtoti tiek maksāta vienreizēja prēmija, ievērojot atlases noteikumu </w:t>
      </w:r>
      <w:r>
        <w:fldChar w:fldCharType="begin"/>
      </w:r>
      <w:r>
        <w:instrText xml:space="preserve"> REF _Ref102977756 \r \h </w:instrText>
      </w:r>
      <w:r>
        <w:fldChar w:fldCharType="separate"/>
      </w:r>
      <w:r>
        <w:t>31.1</w:t>
      </w:r>
      <w:r>
        <w:fldChar w:fldCharType="end"/>
      </w:r>
      <w:r>
        <w:t xml:space="preserve">. un </w:t>
      </w:r>
      <w:r>
        <w:fldChar w:fldCharType="begin"/>
      </w:r>
      <w:r>
        <w:instrText xml:space="preserve"> REF _Ref102977759 \r \h </w:instrText>
      </w:r>
      <w:r>
        <w:fldChar w:fldCharType="separate"/>
      </w:r>
      <w:r>
        <w:t>31.2</w:t>
      </w:r>
      <w:r>
        <w:fldChar w:fldCharType="end"/>
      </w:r>
      <w:r w:rsidR="000D1DA0" w:rsidRPr="000D1DA0">
        <w:t>.</w:t>
      </w:r>
      <w:r>
        <w:t>punktu.</w:t>
      </w:r>
    </w:p>
    <w:p w14:paraId="1EA96928" w14:textId="32C27843" w:rsidR="00176804" w:rsidRPr="000D1DA0" w:rsidRDefault="00E1531D" w:rsidP="00176804">
      <w:pPr>
        <w:pStyle w:val="ListParagraph"/>
        <w:numPr>
          <w:ilvl w:val="0"/>
          <w:numId w:val="24"/>
        </w:numPr>
        <w:spacing w:after="120"/>
        <w:jc w:val="both"/>
      </w:pPr>
      <w:r>
        <w:t>Ja piemērojams, tad g</w:t>
      </w:r>
      <w:r w:rsidR="00176804">
        <w:t>arantijas maksu aizdevuma saņēmējs maksā kredītiestādei, bet kredītiestāde garantijas maksu maksā A</w:t>
      </w:r>
      <w:r w:rsidR="005F112C">
        <w:t>LTUM.</w:t>
      </w:r>
    </w:p>
    <w:p w14:paraId="26564D8D" w14:textId="3C49B77A" w:rsidR="00FB48E2" w:rsidRPr="00FB48E2" w:rsidRDefault="00FB48E2" w:rsidP="00FB48E2">
      <w:pPr>
        <w:pStyle w:val="ListParagraph"/>
        <w:numPr>
          <w:ilvl w:val="0"/>
          <w:numId w:val="24"/>
        </w:numPr>
        <w:spacing w:after="120"/>
        <w:jc w:val="both"/>
        <w:rPr>
          <w:b/>
          <w:bCs/>
        </w:rPr>
      </w:pPr>
      <w:r>
        <w:t>Pretendent</w:t>
      </w:r>
      <w:r w:rsidR="009669AA">
        <w:t>s</w:t>
      </w:r>
      <w:r>
        <w:t xml:space="preserve"> </w:t>
      </w:r>
      <w:r w:rsidR="009669AA">
        <w:t xml:space="preserve">maksā </w:t>
      </w:r>
      <w:r>
        <w:t xml:space="preserve">ALTUM garantijas prēmiju par katru aizdevumu portfelī iekļauto finanšu pakalpojumu vai tā darbības termiņa pagarinājumu, ja vienlaikus tiek pagarināts garantijas darbības termiņš. Saskaņā ar Pretendenta pieteikumā norādīto Pretendents var pieprasīt kompensēt garantijas prēmiju komersantam. </w:t>
      </w:r>
    </w:p>
    <w:p w14:paraId="010D4335" w14:textId="1B568A9D" w:rsidR="00176804" w:rsidRPr="00D43053" w:rsidRDefault="00176804" w:rsidP="00D43053">
      <w:pPr>
        <w:pStyle w:val="ListParagraph"/>
        <w:numPr>
          <w:ilvl w:val="0"/>
          <w:numId w:val="24"/>
        </w:numPr>
        <w:spacing w:after="120"/>
        <w:jc w:val="both"/>
      </w:pPr>
      <w:r w:rsidRPr="00D43053">
        <w:t>Garantija sedz neatmaksāto finanšu pakalpojuma pamatsummas daļu par Pretendenta aizdevumu portfelī iekļautajiem jauniem finanšu pakalpojumiem, kas piešķirti un izsniegti atbilstoši MK noteikumu nr.</w:t>
      </w:r>
      <w:r w:rsidR="00FB17F4">
        <w:t xml:space="preserve"> </w:t>
      </w:r>
      <w:r w:rsidR="00D43053" w:rsidRPr="00D43053">
        <w:t>537</w:t>
      </w:r>
      <w:r w:rsidRPr="00D43053">
        <w:t xml:space="preserve"> nosacījumiem, ņemot vērā Pretendenta pieteikumā norādīto, kā arī</w:t>
      </w:r>
      <w:r w:rsidR="00D43053" w:rsidRPr="00D43053">
        <w:t xml:space="preserve"> </w:t>
      </w:r>
      <w:r w:rsidRPr="00D43053">
        <w:t>nepārsniedzot ierobežoto garantijas summu (</w:t>
      </w:r>
      <w:r w:rsidRPr="009669AA">
        <w:rPr>
          <w:i/>
          <w:iCs/>
        </w:rPr>
        <w:t>cap</w:t>
      </w:r>
      <w:r w:rsidRPr="00D43053">
        <w:t>) un ierobežoto garantijas likmi (</w:t>
      </w:r>
      <w:r w:rsidRPr="009669AA">
        <w:rPr>
          <w:i/>
          <w:iCs/>
        </w:rPr>
        <w:t>cap rate</w:t>
      </w:r>
      <w:r w:rsidRPr="00D43053">
        <w:t xml:space="preserve"> </w:t>
      </w:r>
      <w:r w:rsidR="00D43053" w:rsidRPr="00D43053">
        <w:t>17,5</w:t>
      </w:r>
      <w:r w:rsidRPr="00D43053">
        <w:t>%)</w:t>
      </w:r>
      <w:r w:rsidR="00FB17F4">
        <w:t xml:space="preserve">. </w:t>
      </w:r>
    </w:p>
    <w:p w14:paraId="2CD6F244" w14:textId="698C6267" w:rsidR="00176804" w:rsidRPr="001A49C3" w:rsidRDefault="00176804" w:rsidP="001A49C3">
      <w:pPr>
        <w:pStyle w:val="ListParagraph"/>
        <w:numPr>
          <w:ilvl w:val="0"/>
          <w:numId w:val="24"/>
        </w:numPr>
        <w:spacing w:after="120"/>
        <w:jc w:val="both"/>
      </w:pPr>
      <w:r w:rsidRPr="00D43053">
        <w:t>Īstenojot Programm</w:t>
      </w:r>
      <w:r w:rsidR="00EE2522">
        <w:t>u</w:t>
      </w:r>
      <w:r w:rsidRPr="00D43053">
        <w:t>, Pretendents īsteno konsekventu finanšu pakalpojumu sniegšanas politiku</w:t>
      </w:r>
      <w:r w:rsidR="00FA1D96">
        <w:t>*</w:t>
      </w:r>
      <w:r w:rsidRPr="00D43053">
        <w:t>, aizdevumu portfeli veidojot atbilstoši līdzšinējai Pretendenta kredītpolitikai</w:t>
      </w:r>
      <w:r w:rsidR="001A49C3">
        <w:t>,</w:t>
      </w:r>
      <w:r w:rsidR="001A49C3">
        <w:rPr>
          <w:vertAlign w:val="superscript"/>
        </w:rPr>
        <w:t xml:space="preserve"> </w:t>
      </w:r>
      <w:r w:rsidR="001A49C3">
        <w:t>nodrošinot finanšu vadības sistēmas atbilstību drošas finanšu vadības standartiem un nozares labajai praksei</w:t>
      </w:r>
      <w:r w:rsidR="00FA1D96">
        <w:t xml:space="preserve">, </w:t>
      </w:r>
      <w:r w:rsidR="00FA1D96" w:rsidRPr="00FA1D96">
        <w:t xml:space="preserve">nodrošinot portfeļa pārvaldību un portfeļa riska diversifikāciju atbilstoši nozares standartiem un praksei, kā arī ievēro kredītpolitikas nosacījumus par </w:t>
      </w:r>
      <w:r w:rsidR="00FA1D96" w:rsidRPr="00FA1D96">
        <w:lastRenderedPageBreak/>
        <w:t xml:space="preserve">saimnieciskās darbības veicēju līgumpārkāpumiem vai maksājuma kavējumiem </w:t>
      </w:r>
      <w:r w:rsidR="00FA1D96" w:rsidRPr="002E497D">
        <w:rPr>
          <w:i/>
          <w:iCs/>
        </w:rPr>
        <w:t>(default in respect to loan)</w:t>
      </w:r>
      <w:r w:rsidR="00FA1D96" w:rsidRPr="00FA1D96">
        <w:t xml:space="preserve"> attiecībā uz citiem aizdevumiem kredītiestādē vai citās kredītiestādēs</w:t>
      </w:r>
      <w:r w:rsidR="00FA1D96" w:rsidRPr="00FA1D96">
        <w:rPr>
          <w:rStyle w:val="FootnoteReference"/>
          <w:vertAlign w:val="baseline"/>
        </w:rPr>
        <w:t xml:space="preserve"> </w:t>
      </w:r>
      <w:r w:rsidR="001B25C5">
        <w:rPr>
          <w:rStyle w:val="FootnoteReference"/>
        </w:rPr>
        <w:footnoteReference w:id="3"/>
      </w:r>
      <w:r w:rsidR="001A49C3">
        <w:t xml:space="preserve">. </w:t>
      </w:r>
    </w:p>
    <w:p w14:paraId="7A8715EC" w14:textId="0124E2E2" w:rsidR="00176804" w:rsidRPr="00D43053" w:rsidRDefault="00176804" w:rsidP="00176804">
      <w:pPr>
        <w:pStyle w:val="ListParagraph"/>
        <w:numPr>
          <w:ilvl w:val="0"/>
          <w:numId w:val="24"/>
        </w:numPr>
        <w:spacing w:after="120"/>
        <w:jc w:val="both"/>
        <w:rPr>
          <w:b/>
          <w:bCs/>
        </w:rPr>
      </w:pPr>
      <w:r w:rsidRPr="00D43053">
        <w:t xml:space="preserve">Garantiju piešķiršana aizdevumiem notiek automātiski pēc tam, kad ALTUM ir saņēmis Pretendenta informāciju par finanšu pakalpojuma piešķiršanu ar Programmas garantiju. Garantija ir </w:t>
      </w:r>
      <w:r w:rsidRPr="00DC0A4D">
        <w:t>spēkā no dienas, kad Pretendents ir noslēdzis līgumu</w:t>
      </w:r>
      <w:r w:rsidRPr="00D43053">
        <w:t xml:space="preserve"> par finanšu pakalpojumu, ievērojot MK noteikumu </w:t>
      </w:r>
      <w:r w:rsidR="001A49C3">
        <w:t>nr. 537</w:t>
      </w:r>
      <w:r w:rsidRPr="00D43053">
        <w:t xml:space="preserve"> nosacījumus. </w:t>
      </w:r>
    </w:p>
    <w:p w14:paraId="79521743" w14:textId="49A7EEDF" w:rsidR="00176804" w:rsidRPr="00D43053" w:rsidRDefault="00176804" w:rsidP="00176804">
      <w:pPr>
        <w:pStyle w:val="ListParagraph"/>
        <w:numPr>
          <w:ilvl w:val="0"/>
          <w:numId w:val="24"/>
        </w:numPr>
        <w:spacing w:after="120"/>
        <w:jc w:val="both"/>
        <w:rPr>
          <w:b/>
          <w:bCs/>
        </w:rPr>
      </w:pPr>
      <w:r w:rsidRPr="00D43053">
        <w:t>ALTUM, izmantojot Pretendenta sniegtās atskaites</w:t>
      </w:r>
      <w:r w:rsidR="00811FAE">
        <w:t xml:space="preserve"> par garantiju portfeli</w:t>
      </w:r>
      <w:r w:rsidRPr="00D43053">
        <w:t xml:space="preserve"> un informāciju un Latvijas Bankas Kredītu reģistra datus, pārbauda Programm</w:t>
      </w:r>
      <w:r w:rsidR="00EE2522">
        <w:t>as</w:t>
      </w:r>
      <w:r w:rsidRPr="00D43053">
        <w:t xml:space="preserve"> īstenošanu un garantiju piešķiršanu un izsniegšanu atbilstoši MK noteikumiem nr.</w:t>
      </w:r>
      <w:r w:rsidR="001D4CC6">
        <w:t xml:space="preserve"> </w:t>
      </w:r>
      <w:r w:rsidR="001A49C3">
        <w:t>537</w:t>
      </w:r>
      <w:r w:rsidRPr="00D43053">
        <w:t xml:space="preserve"> </w:t>
      </w:r>
      <w:r w:rsidR="001A49C3">
        <w:t xml:space="preserve">un </w:t>
      </w:r>
      <w:r w:rsidRPr="00D43053">
        <w:t xml:space="preserve">noslēgtajam sadarbības līgumam ar kredītiestādi. </w:t>
      </w:r>
    </w:p>
    <w:p w14:paraId="161D77ED" w14:textId="77777777" w:rsidR="00176804" w:rsidRPr="00D43053" w:rsidRDefault="00176804" w:rsidP="00176804">
      <w:pPr>
        <w:pStyle w:val="ListParagraph"/>
        <w:numPr>
          <w:ilvl w:val="0"/>
          <w:numId w:val="24"/>
        </w:numPr>
        <w:spacing w:after="120"/>
        <w:jc w:val="both"/>
        <w:rPr>
          <w:b/>
          <w:bCs/>
        </w:rPr>
      </w:pPr>
      <w:r w:rsidRPr="00D43053">
        <w:t xml:space="preserve">Dokumentus un informāciju saistībā ar garantiju piešķiršanu glabā Pretendents. ALTUM veic minētās informācijas pārbaudi izlases veidā, lai pārliecinātos par Pretendenta atbilstošu Programmas ieviešanu. </w:t>
      </w:r>
    </w:p>
    <w:p w14:paraId="100B53BD" w14:textId="3A4DD2BF" w:rsidR="00176804" w:rsidRPr="00D43053" w:rsidRDefault="00176804" w:rsidP="00176804">
      <w:pPr>
        <w:pStyle w:val="ListParagraph"/>
        <w:numPr>
          <w:ilvl w:val="0"/>
          <w:numId w:val="24"/>
        </w:numPr>
        <w:spacing w:after="120"/>
        <w:jc w:val="both"/>
        <w:rPr>
          <w:b/>
          <w:bCs/>
        </w:rPr>
      </w:pPr>
      <w:r w:rsidRPr="00D43053">
        <w:t>Pretendents nodrošina iespēju ALTUM veikt pārbaudes un sniedz informāciju par Programm</w:t>
      </w:r>
      <w:r w:rsidR="00EE2522">
        <w:t>as</w:t>
      </w:r>
      <w:r w:rsidRPr="00D43053">
        <w:t xml:space="preserve"> īstenošanas atbilstību MK noteikumiem nr.</w:t>
      </w:r>
      <w:r w:rsidR="001D4CC6">
        <w:t xml:space="preserve"> </w:t>
      </w:r>
      <w:r w:rsidR="001A49C3">
        <w:t>537</w:t>
      </w:r>
      <w:r w:rsidRPr="00D43053">
        <w:t>, Pretendenta pieteikumam, kā arī nodrošina iespēju ALTUM pārliecināties par Pretendenta iekšējās kontroles sistēmas atbilstību Programm</w:t>
      </w:r>
      <w:r w:rsidR="00EE2522">
        <w:t>as</w:t>
      </w:r>
      <w:r w:rsidRPr="00D43053">
        <w:t xml:space="preserve"> nosacījumu pārbaudei. </w:t>
      </w:r>
    </w:p>
    <w:p w14:paraId="26F3FD96" w14:textId="569ACB51" w:rsidR="00176804" w:rsidRPr="00B523C7" w:rsidRDefault="00176804" w:rsidP="00B523C7">
      <w:pPr>
        <w:pStyle w:val="ListParagraph"/>
        <w:numPr>
          <w:ilvl w:val="0"/>
          <w:numId w:val="24"/>
        </w:numPr>
        <w:spacing w:after="120"/>
        <w:jc w:val="both"/>
        <w:rPr>
          <w:b/>
          <w:bCs/>
        </w:rPr>
      </w:pPr>
      <w:r w:rsidRPr="00D43053">
        <w:t>Pretendents ALTUM sniedz pārskatus par Programm</w:t>
      </w:r>
      <w:r w:rsidR="00EE2522">
        <w:t>as</w:t>
      </w:r>
      <w:r w:rsidRPr="00D43053">
        <w:t xml:space="preserve"> </w:t>
      </w:r>
      <w:r w:rsidRPr="00A27A84">
        <w:t xml:space="preserve">īstenošanu reizi </w:t>
      </w:r>
      <w:r w:rsidR="00B523C7" w:rsidRPr="00A27A84">
        <w:t>mēnesī</w:t>
      </w:r>
      <w:r w:rsidRPr="00A27A84">
        <w:t>.</w:t>
      </w:r>
      <w:r w:rsidRPr="00D43053">
        <w:t xml:space="preserve"> ALTUM, vienojoties ar Pretendentu, ir tiesības mainīt pārskatu iesniegšanas termiņus un saturu.</w:t>
      </w:r>
    </w:p>
    <w:p w14:paraId="4B0BC24E" w14:textId="0C90617B" w:rsidR="005F112C" w:rsidRPr="001A49C3" w:rsidRDefault="00176804" w:rsidP="007353C2">
      <w:pPr>
        <w:pStyle w:val="ListParagraph"/>
        <w:numPr>
          <w:ilvl w:val="0"/>
          <w:numId w:val="24"/>
        </w:numPr>
        <w:spacing w:after="120"/>
        <w:jc w:val="both"/>
        <w:rPr>
          <w:b/>
          <w:bCs/>
        </w:rPr>
      </w:pPr>
      <w:r w:rsidRPr="00D43053">
        <w:t xml:space="preserve">Garantijas kompensācijas gadījumā Pretendents iesniedz ALTUM visu ar garantijas piešķiršanu saistīto informāciju (informāciju, atbilstoši kurai var pārliecināties, ka </w:t>
      </w:r>
      <w:r w:rsidR="001A49C3">
        <w:t>darījums atbilst MK noteikumiem nr.</w:t>
      </w:r>
      <w:r w:rsidR="001D4CC6">
        <w:t xml:space="preserve"> </w:t>
      </w:r>
      <w:r w:rsidR="001A49C3">
        <w:t>537 un sadarbības līgumam).</w:t>
      </w:r>
    </w:p>
    <w:p w14:paraId="5452860B" w14:textId="24E8D1B7" w:rsidR="001A49C3" w:rsidRDefault="00446F49" w:rsidP="001A49C3">
      <w:pPr>
        <w:spacing w:after="120"/>
        <w:jc w:val="center"/>
        <w:rPr>
          <w:b/>
          <w:bCs/>
        </w:rPr>
      </w:pPr>
      <w:r w:rsidRPr="00FB48E2">
        <w:rPr>
          <w:b/>
          <w:bCs/>
        </w:rPr>
        <w:t>I</w:t>
      </w:r>
      <w:r>
        <w:rPr>
          <w:b/>
          <w:bCs/>
        </w:rPr>
        <w:t>V</w:t>
      </w:r>
      <w:r w:rsidRPr="00FB48E2">
        <w:rPr>
          <w:b/>
          <w:bCs/>
        </w:rPr>
        <w:t xml:space="preserve"> </w:t>
      </w:r>
      <w:r w:rsidR="00FB48E2" w:rsidRPr="00FB48E2">
        <w:rPr>
          <w:b/>
          <w:bCs/>
        </w:rPr>
        <w:t xml:space="preserve">Pieejamais finansējums </w:t>
      </w:r>
    </w:p>
    <w:p w14:paraId="0C9B0B8F" w14:textId="19F86468" w:rsidR="00681F10" w:rsidRPr="00604718" w:rsidRDefault="00A27A84" w:rsidP="00384711">
      <w:pPr>
        <w:pStyle w:val="ListParagraph"/>
        <w:numPr>
          <w:ilvl w:val="0"/>
          <w:numId w:val="24"/>
        </w:numPr>
        <w:spacing w:after="120"/>
        <w:jc w:val="both"/>
      </w:pPr>
      <w:r w:rsidRPr="00604718">
        <w:t>Atbilstoši MK noteikumu</w:t>
      </w:r>
      <w:r w:rsidR="007528E2" w:rsidRPr="00604718">
        <w:t xml:space="preserve"> nr.</w:t>
      </w:r>
      <w:r w:rsidR="001D4CC6">
        <w:t xml:space="preserve"> </w:t>
      </w:r>
      <w:r w:rsidR="007528E2" w:rsidRPr="00604718">
        <w:t>537</w:t>
      </w:r>
      <w:r w:rsidRPr="00604718">
        <w:t xml:space="preserve"> 5.punktam, </w:t>
      </w:r>
      <w:r w:rsidR="00FA1D96">
        <w:t xml:space="preserve">ALTUM </w:t>
      </w:r>
      <w:r w:rsidRPr="00604718">
        <w:t>p</w:t>
      </w:r>
      <w:r w:rsidR="002B3D8E" w:rsidRPr="00604718">
        <w:t xml:space="preserve">rogrammas </w:t>
      </w:r>
      <w:r w:rsidRPr="00604718">
        <w:t xml:space="preserve">kopējais </w:t>
      </w:r>
      <w:r w:rsidR="002B3D8E" w:rsidRPr="00604718">
        <w:t xml:space="preserve">pieejamais finansējums </w:t>
      </w:r>
      <w:r w:rsidRPr="00604718">
        <w:t>ir 11 300 000 </w:t>
      </w:r>
      <w:r w:rsidRPr="00604718">
        <w:rPr>
          <w:i/>
          <w:iCs/>
        </w:rPr>
        <w:t>euro</w:t>
      </w:r>
      <w:r w:rsidR="00681F10" w:rsidRPr="00604718">
        <w:t>:</w:t>
      </w:r>
    </w:p>
    <w:p w14:paraId="28E8A984" w14:textId="6DC832E0" w:rsidR="00681F10" w:rsidRPr="00604718" w:rsidRDefault="00681F10" w:rsidP="00681F10">
      <w:pPr>
        <w:pStyle w:val="ListParagraph"/>
        <w:numPr>
          <w:ilvl w:val="1"/>
          <w:numId w:val="24"/>
        </w:numPr>
        <w:spacing w:after="120"/>
        <w:jc w:val="both"/>
      </w:pPr>
      <w:bookmarkStart w:id="2" w:name="_Ref100032549"/>
      <w:r w:rsidRPr="00604718">
        <w:t xml:space="preserve">8 000 000 </w:t>
      </w:r>
      <w:r w:rsidRPr="00604718">
        <w:rPr>
          <w:i/>
          <w:iCs/>
        </w:rPr>
        <w:t>euro</w:t>
      </w:r>
      <w:r w:rsidRPr="00604718">
        <w:t xml:space="preserve"> atlases 1. un 2.kārtai;</w:t>
      </w:r>
      <w:bookmarkEnd w:id="2"/>
    </w:p>
    <w:p w14:paraId="0EADADC9" w14:textId="7B64B136" w:rsidR="00681F10" w:rsidRPr="00604718" w:rsidRDefault="00681F10" w:rsidP="00604718">
      <w:pPr>
        <w:pStyle w:val="ListParagraph"/>
        <w:numPr>
          <w:ilvl w:val="1"/>
          <w:numId w:val="24"/>
        </w:numPr>
        <w:spacing w:after="120"/>
        <w:jc w:val="both"/>
      </w:pPr>
      <w:bookmarkStart w:id="3" w:name="_Ref100032499"/>
      <w:r w:rsidRPr="00604718">
        <w:t xml:space="preserve">3 500 000 </w:t>
      </w:r>
      <w:r w:rsidRPr="00604718">
        <w:rPr>
          <w:i/>
          <w:iCs/>
        </w:rPr>
        <w:t>euro</w:t>
      </w:r>
      <w:r w:rsidRPr="00604718">
        <w:t xml:space="preserve"> atlases 3.kārtai</w:t>
      </w:r>
      <w:r w:rsidR="00604718">
        <w:rPr>
          <w:rStyle w:val="FootnoteReference"/>
        </w:rPr>
        <w:footnoteReference w:id="4"/>
      </w:r>
      <w:bookmarkEnd w:id="3"/>
      <w:r w:rsidR="001D4CC6">
        <w:t>.</w:t>
      </w:r>
    </w:p>
    <w:p w14:paraId="62BE3B9B" w14:textId="6C3AA99E" w:rsidR="00681F10" w:rsidRPr="000B3E73" w:rsidRDefault="007528E2" w:rsidP="00384711">
      <w:pPr>
        <w:pStyle w:val="ListParagraph"/>
        <w:numPr>
          <w:ilvl w:val="0"/>
          <w:numId w:val="24"/>
        </w:numPr>
        <w:spacing w:after="120"/>
        <w:jc w:val="both"/>
      </w:pPr>
      <w:r w:rsidRPr="000B3E73">
        <w:t>Atlase tiek izsludināta</w:t>
      </w:r>
      <w:r w:rsidR="00B6229C" w:rsidRPr="000B3E73">
        <w:t xml:space="preserve"> par visu</w:t>
      </w:r>
      <w:r w:rsidRPr="000B3E73">
        <w:t xml:space="preserve"> </w:t>
      </w:r>
      <w:r w:rsidR="00681F10" w:rsidRPr="000B3E73">
        <w:fldChar w:fldCharType="begin"/>
      </w:r>
      <w:r w:rsidR="00681F10" w:rsidRPr="000B3E73">
        <w:instrText xml:space="preserve"> REF _Ref100032499 \r \h </w:instrText>
      </w:r>
      <w:r w:rsidR="00604718" w:rsidRPr="000B3E73">
        <w:instrText xml:space="preserve"> \* MERGEFORMAT </w:instrText>
      </w:r>
      <w:r w:rsidR="00681F10" w:rsidRPr="000B3E73">
        <w:fldChar w:fldCharType="separate"/>
      </w:r>
      <w:r w:rsidR="0065481C">
        <w:t>42.2</w:t>
      </w:r>
      <w:r w:rsidR="00681F10" w:rsidRPr="000B3E73">
        <w:fldChar w:fldCharType="end"/>
      </w:r>
      <w:r w:rsidR="00681F10" w:rsidRPr="000B3E73">
        <w:t>.punktā minēto finansējumu, kā arī</w:t>
      </w:r>
      <w:r w:rsidR="00B6229C" w:rsidRPr="000B3E73">
        <w:t xml:space="preserve"> daļēju</w:t>
      </w:r>
      <w:r w:rsidR="00681F10" w:rsidRPr="000B3E73">
        <w:t xml:space="preserve"> </w:t>
      </w:r>
      <w:r w:rsidR="00681F10" w:rsidRPr="000B3E73">
        <w:fldChar w:fldCharType="begin"/>
      </w:r>
      <w:r w:rsidR="00681F10" w:rsidRPr="000B3E73">
        <w:instrText xml:space="preserve"> REF _Ref100032549 \r \h </w:instrText>
      </w:r>
      <w:r w:rsidR="00604718" w:rsidRPr="000B3E73">
        <w:instrText xml:space="preserve"> \* MERGEFORMAT </w:instrText>
      </w:r>
      <w:r w:rsidR="00681F10" w:rsidRPr="000B3E73">
        <w:fldChar w:fldCharType="separate"/>
      </w:r>
      <w:r w:rsidR="0065481C">
        <w:t>42.1</w:t>
      </w:r>
      <w:r w:rsidR="00681F10" w:rsidRPr="000B3E73">
        <w:fldChar w:fldCharType="end"/>
      </w:r>
      <w:r w:rsidR="00681F10" w:rsidRPr="000B3E73">
        <w:t>.punktā minēto</w:t>
      </w:r>
      <w:r w:rsidR="00B6229C" w:rsidRPr="000B3E73">
        <w:t xml:space="preserve"> finansējumu</w:t>
      </w:r>
      <w:r w:rsidR="00681F10" w:rsidRPr="000B3E73">
        <w:t>, par kuru Altum nav saistības atbilstoši 1. un 2.</w:t>
      </w:r>
      <w:r w:rsidR="00B6229C" w:rsidRPr="000B3E73">
        <w:t xml:space="preserve"> </w:t>
      </w:r>
      <w:r w:rsidR="00681F10" w:rsidRPr="000B3E73">
        <w:t>kārtas ietvaros noslēgtiem līgumiem ar kredītiestādēm</w:t>
      </w:r>
      <w:r w:rsidR="00FA1D96" w:rsidRPr="000B3E73">
        <w:rPr>
          <w:rStyle w:val="FootnoteReference"/>
        </w:rPr>
        <w:footnoteReference w:id="5"/>
      </w:r>
      <w:r w:rsidR="00681F10" w:rsidRPr="000B3E73">
        <w:t>.</w:t>
      </w:r>
    </w:p>
    <w:p w14:paraId="70714429" w14:textId="4B79E041" w:rsidR="00AC7FB3" w:rsidRPr="00464272" w:rsidRDefault="007528E2" w:rsidP="00384711">
      <w:pPr>
        <w:pStyle w:val="ListParagraph"/>
        <w:numPr>
          <w:ilvl w:val="0"/>
          <w:numId w:val="24"/>
        </w:numPr>
        <w:spacing w:after="120"/>
        <w:jc w:val="both"/>
      </w:pPr>
      <w:r w:rsidRPr="000B3E73">
        <w:t>Kopējais izsniedzamais garantiju apjoms</w:t>
      </w:r>
      <w:r w:rsidRPr="00464272">
        <w:t xml:space="preserve"> tiks noteikts pamatojoties uz pretendent</w:t>
      </w:r>
      <w:r w:rsidR="00681F10" w:rsidRPr="00464272">
        <w:t>a</w:t>
      </w:r>
      <w:r w:rsidR="00384711" w:rsidRPr="00464272">
        <w:t xml:space="preserve"> piedāvāt</w:t>
      </w:r>
      <w:r w:rsidR="00681F10" w:rsidRPr="00464272">
        <w:t>o</w:t>
      </w:r>
      <w:r w:rsidRPr="00464272">
        <w:t xml:space="preserve"> </w:t>
      </w:r>
      <w:r w:rsidR="00384711" w:rsidRPr="00464272">
        <w:t>ierobežotā</w:t>
      </w:r>
      <w:r w:rsidR="00681F10" w:rsidRPr="00464272">
        <w:t>s</w:t>
      </w:r>
      <w:r w:rsidR="00384711" w:rsidRPr="00464272">
        <w:t xml:space="preserve"> garantijas likm</w:t>
      </w:r>
      <w:r w:rsidR="00681F10" w:rsidRPr="00464272">
        <w:t>i</w:t>
      </w:r>
      <w:r w:rsidR="00384711" w:rsidRPr="00464272">
        <w:t xml:space="preserve"> (maksimālais </w:t>
      </w:r>
      <w:r w:rsidR="00384711" w:rsidRPr="001D4CC6">
        <w:rPr>
          <w:i/>
          <w:iCs/>
        </w:rPr>
        <w:t>cap rate</w:t>
      </w:r>
      <w:r w:rsidR="00384711" w:rsidRPr="00464272">
        <w:t xml:space="preserve"> 17,5 %) un finanšu pakalpojumu garantijas likm</w:t>
      </w:r>
      <w:r w:rsidR="00604718" w:rsidRPr="00464272">
        <w:t>i</w:t>
      </w:r>
      <w:r w:rsidR="00384711" w:rsidRPr="00464272">
        <w:t xml:space="preserve"> (līdz 80 %). </w:t>
      </w:r>
    </w:p>
    <w:p w14:paraId="05DB0FBA" w14:textId="46D64844" w:rsidR="002B3D8E" w:rsidRPr="00604718" w:rsidRDefault="002B3D8E" w:rsidP="00384711">
      <w:pPr>
        <w:pStyle w:val="ListParagraph"/>
        <w:numPr>
          <w:ilvl w:val="0"/>
          <w:numId w:val="24"/>
        </w:numPr>
        <w:spacing w:after="120"/>
        <w:jc w:val="both"/>
      </w:pPr>
      <w:r w:rsidRPr="00464272">
        <w:t xml:space="preserve">ALTUM </w:t>
      </w:r>
      <w:r w:rsidR="00B6229C">
        <w:t>p</w:t>
      </w:r>
      <w:r w:rsidR="00384711" w:rsidRPr="00464272">
        <w:t>ieejamo riska finansējuma apjomu</w:t>
      </w:r>
      <w:r w:rsidRPr="00464272">
        <w:t xml:space="preserve"> var palielināt, izvērtējot programmas pieprasījumu un programmas ieviešanas gaitu</w:t>
      </w:r>
      <w:r w:rsidR="00AC7FB3" w:rsidRPr="00464272">
        <w:t>, kā arī pieejamo finansējumu</w:t>
      </w:r>
      <w:r w:rsidR="00604718" w:rsidRPr="00464272">
        <w:t xml:space="preserve">, t.sk. no </w:t>
      </w:r>
      <w:r w:rsidR="00604718" w:rsidRPr="00604718">
        <w:fldChar w:fldCharType="begin"/>
      </w:r>
      <w:r w:rsidR="00604718" w:rsidRPr="00604718">
        <w:instrText xml:space="preserve"> REF _Ref100032549 \r \h </w:instrText>
      </w:r>
      <w:r w:rsidR="00604718">
        <w:instrText xml:space="preserve"> \* MERGEFORMAT </w:instrText>
      </w:r>
      <w:r w:rsidR="00604718" w:rsidRPr="00604718">
        <w:fldChar w:fldCharType="separate"/>
      </w:r>
      <w:r w:rsidR="0065481C">
        <w:t>42.1</w:t>
      </w:r>
      <w:r w:rsidR="00604718" w:rsidRPr="00604718">
        <w:fldChar w:fldCharType="end"/>
      </w:r>
      <w:r w:rsidR="00AC7FB3" w:rsidRPr="00604718">
        <w:t>.</w:t>
      </w:r>
      <w:r w:rsidR="00604718" w:rsidRPr="00604718">
        <w:t>minētajām saistībām.</w:t>
      </w:r>
      <w:r w:rsidR="00AC7FB3" w:rsidRPr="00604718">
        <w:t xml:space="preserve"> Šāda gadījumā </w:t>
      </w:r>
      <w:r w:rsidR="00604718" w:rsidRPr="00604718">
        <w:t>ALTUM</w:t>
      </w:r>
      <w:r w:rsidR="00AC7FB3" w:rsidRPr="00604718">
        <w:t xml:space="preserve"> nerīko jaunu atlasi, bet finansējumu sadala atbilstoši nosacījumiem, kā finansējums sadalīts sākotnējā atlasē</w:t>
      </w:r>
      <w:r w:rsidRPr="00604718">
        <w:t xml:space="preserve">. </w:t>
      </w:r>
    </w:p>
    <w:p w14:paraId="708D2878" w14:textId="753193BD" w:rsidR="006813D4" w:rsidRPr="005550DA" w:rsidRDefault="006813D4" w:rsidP="00994EEC">
      <w:pPr>
        <w:pStyle w:val="ListParagraph"/>
        <w:numPr>
          <w:ilvl w:val="0"/>
          <w:numId w:val="24"/>
        </w:numPr>
        <w:spacing w:after="120"/>
        <w:jc w:val="both"/>
        <w:rPr>
          <w:b/>
          <w:bCs/>
        </w:rPr>
      </w:pPr>
      <w:r w:rsidRPr="005550DA">
        <w:t xml:space="preserve">ALTUM finansējumu starp </w:t>
      </w:r>
      <w:r w:rsidR="00E339DF" w:rsidRPr="005550DA">
        <w:t>P</w:t>
      </w:r>
      <w:r w:rsidRPr="005550DA">
        <w:t>retendentiem sadala pieejamā finansējuma ietvaros atbilstoši Pretendenta pieteikumā norādītājam plānotajam aizdevumu un garantiju izsniegšanas apjomam un faktiskajam garantiju izsniegšanas apjomam</w:t>
      </w:r>
      <w:r w:rsidR="00B523C7" w:rsidRPr="005550DA">
        <w:t xml:space="preserve">. </w:t>
      </w:r>
    </w:p>
    <w:p w14:paraId="6C41A5D5" w14:textId="534ADA24" w:rsidR="006813D4" w:rsidRPr="006813D4" w:rsidRDefault="006813D4" w:rsidP="006813D4">
      <w:pPr>
        <w:pStyle w:val="ListParagraph"/>
        <w:numPr>
          <w:ilvl w:val="0"/>
          <w:numId w:val="24"/>
        </w:numPr>
        <w:spacing w:after="120"/>
        <w:jc w:val="both"/>
        <w:rPr>
          <w:b/>
          <w:bCs/>
        </w:rPr>
      </w:pPr>
      <w:r>
        <w:lastRenderedPageBreak/>
        <w:t xml:space="preserve">Pretendenta maksimāli izsniedzamo garantiju apjomu nosaka atbilstoši </w:t>
      </w:r>
      <w:r w:rsidR="00E339DF">
        <w:t>P</w:t>
      </w:r>
      <w:r>
        <w:t xml:space="preserve">retendentam pieejamam publiskajam finansējumam un </w:t>
      </w:r>
      <w:r w:rsidR="00E339DF">
        <w:t>P</w:t>
      </w:r>
      <w:r>
        <w:t>retendenta piedāvātajai ierobežotās garantijas summai (publiskais finansējums/</w:t>
      </w:r>
      <w:r w:rsidRPr="001D4CC6">
        <w:rPr>
          <w:i/>
          <w:iCs/>
        </w:rPr>
        <w:t>cap rate</w:t>
      </w:r>
      <w:r>
        <w:t>). Ierobežotās garantijas likmi fiksē uz visu līguma periodu</w:t>
      </w:r>
      <w:r w:rsidR="00B523C7">
        <w:t xml:space="preserve">. </w:t>
      </w:r>
    </w:p>
    <w:p w14:paraId="6B93155E" w14:textId="77777777" w:rsidR="006813D4" w:rsidRPr="006813D4" w:rsidRDefault="006813D4" w:rsidP="006813D4">
      <w:pPr>
        <w:pStyle w:val="ListParagraph"/>
        <w:numPr>
          <w:ilvl w:val="0"/>
          <w:numId w:val="24"/>
        </w:numPr>
        <w:spacing w:after="120"/>
        <w:jc w:val="both"/>
        <w:rPr>
          <w:b/>
          <w:bCs/>
        </w:rPr>
      </w:pPr>
      <w:r>
        <w:t xml:space="preserve">ALTUM ir tiesības lemt par finansējuma pārdalīšanu starp Pretendentiem: </w:t>
      </w:r>
    </w:p>
    <w:p w14:paraId="108F8A5E" w14:textId="77777777" w:rsidR="001D4CC6" w:rsidRPr="001D4CC6" w:rsidRDefault="006813D4" w:rsidP="001D4CC6">
      <w:pPr>
        <w:pStyle w:val="ListParagraph"/>
        <w:numPr>
          <w:ilvl w:val="1"/>
          <w:numId w:val="24"/>
        </w:numPr>
        <w:spacing w:after="120"/>
        <w:jc w:val="both"/>
        <w:rPr>
          <w:b/>
          <w:bCs/>
        </w:rPr>
      </w:pPr>
      <w:r>
        <w:t xml:space="preserve">balstoties uz saņemto Pretendentu pieteikumu skaitu un to plānotajiem un faktiskajiem kreditēšanas apjomiem, piemēram, ja </w:t>
      </w:r>
      <w:r w:rsidRPr="00A27A84">
        <w:t xml:space="preserve">piesakās mazāk kā 4 pretendenti, programmas finansējumu ALTUM ir tiesības sadalīt starp visiem pretendentiem, kas ir pieteikušies; </w:t>
      </w:r>
    </w:p>
    <w:p w14:paraId="5F5625F1" w14:textId="64F8CBF9" w:rsidR="006813D4" w:rsidRPr="001D4CC6" w:rsidRDefault="006813D4" w:rsidP="001D4CC6">
      <w:pPr>
        <w:pStyle w:val="ListParagraph"/>
        <w:numPr>
          <w:ilvl w:val="1"/>
          <w:numId w:val="24"/>
        </w:numPr>
        <w:spacing w:after="120"/>
        <w:ind w:hanging="361"/>
        <w:jc w:val="both"/>
        <w:rPr>
          <w:b/>
          <w:bCs/>
        </w:rPr>
      </w:pPr>
      <w:r>
        <w:t>piešķirt papildus finansējumu, ja ALTUM pieejams papildus finansējums</w:t>
      </w:r>
      <w:r w:rsidR="002E497D">
        <w:t xml:space="preserve"> (t.sk. </w:t>
      </w:r>
      <w:r w:rsidR="002E497D">
        <w:fldChar w:fldCharType="begin"/>
      </w:r>
      <w:r w:rsidR="002E497D">
        <w:instrText xml:space="preserve"> REF _Ref100032549 \r \h </w:instrText>
      </w:r>
      <w:r w:rsidR="002E497D">
        <w:fldChar w:fldCharType="separate"/>
      </w:r>
      <w:r w:rsidR="0065481C">
        <w:t>42.1</w:t>
      </w:r>
      <w:r w:rsidR="002E497D">
        <w:fldChar w:fldCharType="end"/>
      </w:r>
      <w:r w:rsidR="001D4CC6">
        <w:t xml:space="preserve">. </w:t>
      </w:r>
      <w:r w:rsidR="002E497D">
        <w:t>punktā minētā finansējuma)</w:t>
      </w:r>
      <w:r>
        <w:t xml:space="preserve"> vai kāds no Pretendentiem izmanto finansējumu mazākā apjomā kā paredzēts pieteikumā.</w:t>
      </w:r>
    </w:p>
    <w:p w14:paraId="11517A3C" w14:textId="74B831A1" w:rsidR="006813D4" w:rsidRPr="006813D4" w:rsidRDefault="006813D4" w:rsidP="006813D4">
      <w:pPr>
        <w:pStyle w:val="ListParagraph"/>
        <w:numPr>
          <w:ilvl w:val="0"/>
          <w:numId w:val="24"/>
        </w:numPr>
        <w:spacing w:after="120"/>
        <w:jc w:val="both"/>
        <w:rPr>
          <w:b/>
          <w:bCs/>
        </w:rPr>
      </w:pPr>
      <w:r>
        <w:t>A</w:t>
      </w:r>
      <w:r w:rsidR="004F566B">
        <w:t>LTUM</w:t>
      </w:r>
      <w:r>
        <w:t xml:space="preserve"> var samazināt Pretendentam piešķirto finansējuma apjomu, ja Pretendents 6</w:t>
      </w:r>
      <w:r w:rsidR="001D4CC6">
        <w:t>.</w:t>
      </w:r>
      <w:r>
        <w:t xml:space="preserve"> mēnešu vai ilgākā periodā kopā ir izmantojis garantijas mazāk par </w:t>
      </w:r>
      <w:r w:rsidR="00C23389">
        <w:t>70</w:t>
      </w:r>
      <w:r>
        <w:t xml:space="preserve">% apmērā no piešķirtā finansējuma (pieņemot, ka mēnesī izsniedzama 1/12 daļa no gada finansējuma apjoma): </w:t>
      </w:r>
    </w:p>
    <w:p w14:paraId="2691DE95" w14:textId="0A9C8B5F" w:rsidR="006813D4" w:rsidRPr="006813D4" w:rsidRDefault="006813D4" w:rsidP="006813D4">
      <w:pPr>
        <w:pStyle w:val="ListParagraph"/>
        <w:numPr>
          <w:ilvl w:val="1"/>
          <w:numId w:val="24"/>
        </w:numPr>
        <w:spacing w:after="120"/>
        <w:jc w:val="both"/>
        <w:rPr>
          <w:b/>
          <w:bCs/>
        </w:rPr>
      </w:pPr>
      <w:r>
        <w:t>Finansējuma izmaiņas A</w:t>
      </w:r>
      <w:r w:rsidR="001D4CC6">
        <w:t>LTUM</w:t>
      </w:r>
      <w:r>
        <w:t xml:space="preserve"> var veikt reizi ceturksnī; </w:t>
      </w:r>
    </w:p>
    <w:p w14:paraId="7FA8BAD1" w14:textId="3F40043B" w:rsidR="006813D4" w:rsidRPr="006813D4" w:rsidRDefault="006813D4" w:rsidP="006813D4">
      <w:pPr>
        <w:pStyle w:val="ListParagraph"/>
        <w:numPr>
          <w:ilvl w:val="1"/>
          <w:numId w:val="24"/>
        </w:numPr>
        <w:spacing w:after="120"/>
        <w:jc w:val="both"/>
        <w:rPr>
          <w:b/>
          <w:bCs/>
        </w:rPr>
      </w:pPr>
      <w:r>
        <w:t>Samazināto finansējuma A</w:t>
      </w:r>
      <w:r w:rsidR="001D4CC6">
        <w:t>LTUM</w:t>
      </w:r>
      <w:r>
        <w:t xml:space="preserve"> piešķir Pretendentiem, kas 6 mēnešu vai ilgākā periodā kopā izsnieguši garantijas vairāk kā 85% apmērā no piešķirtā finansējuma (pieņemot, ka mēnesī izsniedzama 1/12 daļa no gada finansējuma apjoma).</w:t>
      </w:r>
    </w:p>
    <w:p w14:paraId="2E8A251F" w14:textId="0C78F1E4" w:rsidR="006D7D15" w:rsidRPr="00446F49" w:rsidRDefault="006813D4" w:rsidP="006813D4">
      <w:pPr>
        <w:pStyle w:val="ListParagraph"/>
        <w:numPr>
          <w:ilvl w:val="0"/>
          <w:numId w:val="24"/>
        </w:numPr>
        <w:spacing w:after="120"/>
        <w:jc w:val="both"/>
        <w:rPr>
          <w:b/>
          <w:bCs/>
        </w:rPr>
      </w:pPr>
      <w:r>
        <w:t xml:space="preserve">Vienojoties ar Pretendentiem, ALTUM ir tiesīgas veikt jebkāda veida finansējuma pārdales, lai nodrošinātu un veicinātu kredītu pieejamību, piemēram, ja kāds Pretendents izsniedzis visu paredzēto finansējumu vai Pretendents izsniedz mazāk finansējumu kā prognozēts pieteikumā, vai pieejams papildus finansējums. </w:t>
      </w:r>
    </w:p>
    <w:p w14:paraId="2B2FE968" w14:textId="5954E2E6" w:rsidR="00446F49" w:rsidRPr="00446F49" w:rsidRDefault="00446F49" w:rsidP="00446F49">
      <w:pPr>
        <w:spacing w:after="120"/>
        <w:jc w:val="center"/>
        <w:rPr>
          <w:b/>
          <w:bCs/>
        </w:rPr>
      </w:pPr>
      <w:r w:rsidRPr="00446F49">
        <w:rPr>
          <w:b/>
          <w:bCs/>
        </w:rPr>
        <w:t xml:space="preserve">V </w:t>
      </w:r>
      <w:r>
        <w:rPr>
          <w:b/>
          <w:bCs/>
        </w:rPr>
        <w:t>P</w:t>
      </w:r>
      <w:r w:rsidRPr="00446F49">
        <w:rPr>
          <w:b/>
          <w:bCs/>
        </w:rPr>
        <w:t>ieteikumu vērtēšana</w:t>
      </w:r>
    </w:p>
    <w:p w14:paraId="7014F6CA" w14:textId="531B6482" w:rsidR="006D7D15" w:rsidRPr="006D7D15" w:rsidRDefault="006813D4" w:rsidP="006813D4">
      <w:pPr>
        <w:pStyle w:val="ListParagraph"/>
        <w:numPr>
          <w:ilvl w:val="0"/>
          <w:numId w:val="24"/>
        </w:numPr>
        <w:spacing w:after="120"/>
        <w:jc w:val="both"/>
        <w:rPr>
          <w:b/>
          <w:bCs/>
        </w:rPr>
      </w:pPr>
      <w:r>
        <w:t xml:space="preserve">Pretendentu pieteikumu </w:t>
      </w:r>
      <w:r w:rsidR="002E497D">
        <w:t xml:space="preserve">vērtēšanu veic </w:t>
      </w:r>
      <w:r>
        <w:t>atbilstoši šo noteikumu prasībām</w:t>
      </w:r>
      <w:r w:rsidR="006D7D15">
        <w:t xml:space="preserve"> </w:t>
      </w:r>
      <w:r>
        <w:t xml:space="preserve">slēgtā ALTUM komisijas sēdē. Pieteikumu vērtēšanas process tiek protokolēts, norādot katra Pretendenta iesniegto pieteikumu, vērtēšanas un lēmuma pieņemšanas gaitu. </w:t>
      </w:r>
    </w:p>
    <w:p w14:paraId="7A10A971" w14:textId="77777777" w:rsidR="002E497D" w:rsidRPr="006D7D15" w:rsidRDefault="002E497D" w:rsidP="002E497D">
      <w:pPr>
        <w:pStyle w:val="ListParagraph"/>
        <w:numPr>
          <w:ilvl w:val="0"/>
          <w:numId w:val="24"/>
        </w:numPr>
        <w:spacing w:after="120"/>
        <w:jc w:val="both"/>
        <w:rPr>
          <w:b/>
          <w:bCs/>
        </w:rPr>
      </w:pPr>
      <w:r>
        <w:t>ALTUM pieteikumus vērtē pieteikumu iesniegšanas secībā. Lēmumu par pieteikuma apstiprināšanu ALTUM var pieņemt neatkarīgi no iesniegto pieteikumu skaita.</w:t>
      </w:r>
    </w:p>
    <w:p w14:paraId="040513E9" w14:textId="335AEF80" w:rsidR="006D7D15" w:rsidRPr="006D7D15" w:rsidRDefault="006813D4" w:rsidP="006813D4">
      <w:pPr>
        <w:pStyle w:val="ListParagraph"/>
        <w:numPr>
          <w:ilvl w:val="0"/>
          <w:numId w:val="24"/>
        </w:numPr>
        <w:spacing w:after="120"/>
        <w:jc w:val="both"/>
        <w:rPr>
          <w:b/>
          <w:bCs/>
        </w:rPr>
      </w:pPr>
      <w:r>
        <w:t xml:space="preserve">Dokumenti, kas atspoguļo atlases norisi, izņemot Pretendentu pieteikumus, ir vispārpieejama informācija. </w:t>
      </w:r>
    </w:p>
    <w:p w14:paraId="04B31C33" w14:textId="77777777" w:rsidR="006D7D15" w:rsidRPr="006D7D15" w:rsidRDefault="006813D4" w:rsidP="006813D4">
      <w:pPr>
        <w:pStyle w:val="ListParagraph"/>
        <w:numPr>
          <w:ilvl w:val="0"/>
          <w:numId w:val="24"/>
        </w:numPr>
        <w:spacing w:after="120"/>
        <w:jc w:val="both"/>
        <w:rPr>
          <w:b/>
          <w:bCs/>
        </w:rPr>
      </w:pPr>
      <w:r>
        <w:t>Pieteikumu vērtēšanas laikā ALTUM ir tiesības intervēt Pretendenta darbiniekus, lūgt precizēt Pretendenta pieteikumā norādīto informāciju vai iesniegt papildus informāciju.</w:t>
      </w:r>
    </w:p>
    <w:p w14:paraId="225A2BB0" w14:textId="47E4BF7E" w:rsidR="006813D4" w:rsidRPr="006D7D15" w:rsidRDefault="006813D4" w:rsidP="006813D4">
      <w:pPr>
        <w:pStyle w:val="ListParagraph"/>
        <w:numPr>
          <w:ilvl w:val="0"/>
          <w:numId w:val="24"/>
        </w:numPr>
        <w:spacing w:after="120"/>
        <w:jc w:val="both"/>
        <w:rPr>
          <w:b/>
          <w:bCs/>
        </w:rPr>
      </w:pPr>
      <w:r>
        <w:t>Lēmumu par Pretendentu pieteikumu izvērtēšanas rezultātiem un sadarbības līgumu slēgšanu ar Pretendentiem pieņem ALTUM valde.</w:t>
      </w:r>
    </w:p>
    <w:p w14:paraId="1304526C" w14:textId="77777777" w:rsidR="006D7D15" w:rsidRPr="006D7D15" w:rsidRDefault="006D7D15" w:rsidP="006813D4">
      <w:pPr>
        <w:pStyle w:val="ListParagraph"/>
        <w:numPr>
          <w:ilvl w:val="0"/>
          <w:numId w:val="24"/>
        </w:numPr>
        <w:spacing w:after="120"/>
        <w:jc w:val="both"/>
        <w:rPr>
          <w:b/>
          <w:bCs/>
        </w:rPr>
      </w:pPr>
      <w:r>
        <w:t xml:space="preserve">Paziņojums par Pretendentu pieteikumu izvērtēšanas rezultātiem 5 (piecu) darba dienu laikā pēc lēmuma pieņemšanas tiek nosūtīts Pretendentiem, kuriem piešķirtas sadarbības līguma slēgšanas tiesības. </w:t>
      </w:r>
    </w:p>
    <w:p w14:paraId="470E50F1" w14:textId="77777777" w:rsidR="006D7D15" w:rsidRPr="006D7D15" w:rsidRDefault="006D7D15" w:rsidP="006813D4">
      <w:pPr>
        <w:pStyle w:val="ListParagraph"/>
        <w:numPr>
          <w:ilvl w:val="0"/>
          <w:numId w:val="24"/>
        </w:numPr>
        <w:spacing w:after="120"/>
        <w:jc w:val="both"/>
        <w:rPr>
          <w:b/>
          <w:bCs/>
        </w:rPr>
      </w:pPr>
      <w:r>
        <w:t xml:space="preserve">Paziņojumu par noslēgtajiem sadarbības līgumiem ALTUM publicē savā mājas lapā internetā 3 (trīs) darba dienu laikā no sadarbības līguma noslēgšanas. </w:t>
      </w:r>
    </w:p>
    <w:p w14:paraId="27BF1392" w14:textId="644964D7" w:rsidR="006D7D15" w:rsidRPr="00892B64" w:rsidRDefault="006D7D15" w:rsidP="006813D4">
      <w:pPr>
        <w:pStyle w:val="ListParagraph"/>
        <w:numPr>
          <w:ilvl w:val="0"/>
          <w:numId w:val="24"/>
        </w:numPr>
        <w:spacing w:after="120"/>
        <w:jc w:val="both"/>
        <w:rPr>
          <w:b/>
          <w:bCs/>
        </w:rPr>
      </w:pPr>
      <w:r>
        <w:t xml:space="preserve">ALTUM ir tiesības pārtraukt pieteikumu izskatīšanu, ja tiek iegūta pietiekama informācija un pārliecība, ka pastāv noruna kādu atturēt no piedalīšanās vai starp Pretendentiem pastāv vienošanās, kas var ietekmēt pieteikumu rezultātus vai gaitu. </w:t>
      </w:r>
    </w:p>
    <w:p w14:paraId="2338A763" w14:textId="1047B4E9" w:rsidR="008F1629" w:rsidRPr="00892B64" w:rsidRDefault="008F1629" w:rsidP="008F1629">
      <w:pPr>
        <w:pStyle w:val="ListParagraph"/>
        <w:numPr>
          <w:ilvl w:val="0"/>
          <w:numId w:val="24"/>
        </w:numPr>
        <w:spacing w:after="120"/>
        <w:jc w:val="both"/>
      </w:pPr>
      <w:r w:rsidRPr="00892B64">
        <w:t xml:space="preserve">Pieteikumus sarindo atbilstoši iegūtajam vērtējumam </w:t>
      </w:r>
      <w:r w:rsidR="0036302F">
        <w:t>2.</w:t>
      </w:r>
      <w:r w:rsidRPr="00892B64">
        <w:t>pielikuma II</w:t>
      </w:r>
      <w:r w:rsidR="0098008C">
        <w:t>I</w:t>
      </w:r>
      <w:r w:rsidRPr="00892B64">
        <w:t xml:space="preserve"> punktā noteiktajos kritērijos</w:t>
      </w:r>
      <w:r w:rsidR="00BD5670">
        <w:t>:</w:t>
      </w:r>
    </w:p>
    <w:p w14:paraId="4F7A37F6" w14:textId="77777777" w:rsidR="008F1629" w:rsidRPr="00892B64" w:rsidRDefault="008F1629" w:rsidP="002E497D">
      <w:pPr>
        <w:pStyle w:val="ListParagraph"/>
        <w:numPr>
          <w:ilvl w:val="1"/>
          <w:numId w:val="24"/>
        </w:numPr>
        <w:spacing w:after="120"/>
        <w:jc w:val="both"/>
      </w:pPr>
      <w:bookmarkStart w:id="4" w:name="_Ref100033759"/>
      <w:r w:rsidRPr="00892B64">
        <w:t>Ja vairākiem Pretendentiem ir vienāds punktu skaits, augstāku vērtējumu piešķir Pretendentam, kas ir saņēmis vairāk punktus apakškritērijā "Pretendenta piedāvātais finanšu pakalpojuma procentu likmes samazinājums komersantiem - starpība starp pretendenta finanšu pakalpojumu procentu likmi un pretendenta finanšu pakalpojuma procentu likmi ar portfeļgarantiju. (P1)".</w:t>
      </w:r>
      <w:bookmarkEnd w:id="4"/>
      <w:r w:rsidRPr="00892B64">
        <w:t xml:space="preserve"> </w:t>
      </w:r>
    </w:p>
    <w:p w14:paraId="1EC1BEA6" w14:textId="26393C0F" w:rsidR="008F1629" w:rsidRPr="00892B64" w:rsidRDefault="008F1629" w:rsidP="002E497D">
      <w:pPr>
        <w:pStyle w:val="ListParagraph"/>
        <w:numPr>
          <w:ilvl w:val="1"/>
          <w:numId w:val="24"/>
        </w:numPr>
        <w:spacing w:after="120"/>
        <w:jc w:val="both"/>
      </w:pPr>
      <w:bookmarkStart w:id="5" w:name="_Ref100033780"/>
      <w:r w:rsidRPr="00892B64">
        <w:lastRenderedPageBreak/>
        <w:t xml:space="preserve">Ja vairākiem Pretendentiem ir vienāds punktu skaits un vienāds vērtējums </w:t>
      </w:r>
      <w:r w:rsidR="0036302F">
        <w:fldChar w:fldCharType="begin"/>
      </w:r>
      <w:r w:rsidR="0036302F">
        <w:instrText xml:space="preserve"> REF _Ref100033759 \r \h </w:instrText>
      </w:r>
      <w:r w:rsidR="0036302F">
        <w:fldChar w:fldCharType="separate"/>
      </w:r>
      <w:r w:rsidR="0065481C">
        <w:t>59.1</w:t>
      </w:r>
      <w:r w:rsidR="0036302F">
        <w:fldChar w:fldCharType="end"/>
      </w:r>
      <w:r w:rsidR="0036302F">
        <w:t>.</w:t>
      </w:r>
      <w:r w:rsidRPr="00892B64">
        <w:t>punktā minētajā kritērijā "Pretendenta piedāvātais finanšu pakalpojuma procentu likmes samazinājums komersantiem - starpība starp pretendenta finanšu pakalpojumu procentu likmi un pretendenta finanšu pakalpojuma procentu likmi ar portfeļgarantiju. (P1)", augstāku vērtējumu piešķir Pretendentam, kas ir saņēmis vairāk punktus kritērijā "Pretendenta plānotā no jauna izveidojamā aizdevumu portfeļa maksimālā kompensācija (%)" (</w:t>
      </w:r>
      <w:r w:rsidR="0098008C" w:rsidRPr="00892B64">
        <w:t>E</w:t>
      </w:r>
      <w:r w:rsidRPr="00892B64">
        <w:t>).</w:t>
      </w:r>
      <w:bookmarkEnd w:id="5"/>
    </w:p>
    <w:p w14:paraId="09BB9776" w14:textId="7E9ADA0A" w:rsidR="008F1629" w:rsidRPr="00892B64" w:rsidRDefault="008F1629" w:rsidP="002E497D">
      <w:pPr>
        <w:pStyle w:val="ListParagraph"/>
        <w:numPr>
          <w:ilvl w:val="1"/>
          <w:numId w:val="24"/>
        </w:numPr>
        <w:spacing w:after="120"/>
        <w:jc w:val="both"/>
      </w:pPr>
      <w:r w:rsidRPr="00892B64">
        <w:t xml:space="preserve">Ja arī ņemot vērā </w:t>
      </w:r>
      <w:r w:rsidR="0036302F">
        <w:fldChar w:fldCharType="begin"/>
      </w:r>
      <w:r w:rsidR="0036302F">
        <w:instrText xml:space="preserve"> REF _Ref100033780 \r \h </w:instrText>
      </w:r>
      <w:r w:rsidR="0036302F">
        <w:fldChar w:fldCharType="separate"/>
      </w:r>
      <w:r w:rsidR="0065481C">
        <w:t>59.2</w:t>
      </w:r>
      <w:r w:rsidR="0036302F">
        <w:fldChar w:fldCharType="end"/>
      </w:r>
      <w:r w:rsidR="0036302F">
        <w:t>.</w:t>
      </w:r>
      <w:r w:rsidRPr="00892B64">
        <w:t>punktā norādīto, vairākiem Pretendentiem ir vienāds punktu skaits, augstāku vērtējumu piešķir Pretendentam, kas ir saņēmis vairāk punktus kritērijā "Pretendenta kopējais Altum garantēto finanšu pakalpojumu apjoms komersantiem 2019.-2021.gadā (EUR) (K1)"</w:t>
      </w:r>
      <w:r w:rsidR="0036302F">
        <w:t>;</w:t>
      </w:r>
    </w:p>
    <w:p w14:paraId="7CAE4355" w14:textId="4E3D04D4" w:rsidR="008F1629" w:rsidRPr="00892B64" w:rsidRDefault="008F1629" w:rsidP="008F1629">
      <w:pPr>
        <w:pStyle w:val="ListParagraph"/>
        <w:numPr>
          <w:ilvl w:val="0"/>
          <w:numId w:val="24"/>
        </w:numPr>
        <w:spacing w:after="120"/>
        <w:jc w:val="both"/>
      </w:pPr>
      <w:r w:rsidRPr="00892B64">
        <w:t xml:space="preserve">Atlases ietvaros pieejamo finansējumu sadala starp kredītiestādēm, kas kvalificējušās atlasē. </w:t>
      </w:r>
      <w:r w:rsidR="00A73DE7">
        <w:t xml:space="preserve">Ja pieteikušās mazāk kā četras kredītiestādes, </w:t>
      </w:r>
      <w:r w:rsidRPr="00892B64">
        <w:t>Kredītiestādei ar augstāko vērtējumu piešķir ne vairāk kā 50 % no pieejamā finansējuma. Atlikušo pieejamo finansējumu sadala starp pārējām atlasītajām kredītiestādēm proporcionāli iesniegtajos pieteikumos norādītajam finansējumam.</w:t>
      </w:r>
    </w:p>
    <w:p w14:paraId="445A204B" w14:textId="7D7FFC13" w:rsidR="008F1629" w:rsidRPr="008F1629" w:rsidRDefault="008F1629" w:rsidP="008F1629">
      <w:pPr>
        <w:pStyle w:val="ListParagraph"/>
        <w:numPr>
          <w:ilvl w:val="0"/>
          <w:numId w:val="24"/>
        </w:numPr>
        <w:spacing w:after="120"/>
        <w:jc w:val="both"/>
        <w:rPr>
          <w:b/>
          <w:bCs/>
        </w:rPr>
      </w:pPr>
      <w:r w:rsidRPr="00892B64">
        <w:t xml:space="preserve">Pieejamo finansējumu sadala starp Pretendentiem pēc iegūto punktu skaita, nepārsniedzot </w:t>
      </w:r>
      <w:r w:rsidR="00A73DE7">
        <w:t xml:space="preserve">Pretendenta </w:t>
      </w:r>
      <w:r w:rsidRPr="00A73DE7">
        <w:t>pieteikumā norādīto plānoto aizdevumu un garantiju izsniegšanas apjomu</w:t>
      </w:r>
      <w:r w:rsidRPr="008F1629">
        <w:rPr>
          <w:b/>
          <w:bCs/>
        </w:rPr>
        <w:t xml:space="preserve">. </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1375"/>
        <w:gridCol w:w="1559"/>
        <w:gridCol w:w="2268"/>
        <w:gridCol w:w="2268"/>
      </w:tblGrid>
      <w:tr w:rsidR="0036302F" w:rsidRPr="000B3E73" w14:paraId="5EB83485" w14:textId="77777777" w:rsidTr="006F17EA">
        <w:trPr>
          <w:trHeight w:val="900"/>
        </w:trPr>
        <w:tc>
          <w:tcPr>
            <w:tcW w:w="1176" w:type="dxa"/>
            <w:shd w:val="clear" w:color="auto" w:fill="auto"/>
            <w:vAlign w:val="bottom"/>
            <w:hideMark/>
          </w:tcPr>
          <w:p w14:paraId="1D07F87E" w14:textId="77777777" w:rsidR="0036302F" w:rsidRPr="000B3E73" w:rsidRDefault="0036302F" w:rsidP="001D4CC6">
            <w:pPr>
              <w:jc w:val="center"/>
              <w:rPr>
                <w:b/>
                <w:bCs/>
                <w:color w:val="000000"/>
                <w:lang w:eastAsia="lv-LV"/>
              </w:rPr>
            </w:pPr>
            <w:r w:rsidRPr="000B3E73">
              <w:rPr>
                <w:b/>
                <w:bCs/>
                <w:color w:val="000000"/>
              </w:rPr>
              <w:t>Rezultāts</w:t>
            </w:r>
          </w:p>
        </w:tc>
        <w:tc>
          <w:tcPr>
            <w:tcW w:w="1375" w:type="dxa"/>
            <w:shd w:val="clear" w:color="auto" w:fill="auto"/>
            <w:vAlign w:val="bottom"/>
            <w:hideMark/>
          </w:tcPr>
          <w:p w14:paraId="55D4A9CD" w14:textId="6E83BEB0" w:rsidR="0036302F" w:rsidRPr="000B3E73" w:rsidRDefault="0036302F" w:rsidP="001D4CC6">
            <w:pPr>
              <w:jc w:val="center"/>
              <w:rPr>
                <w:b/>
                <w:bCs/>
                <w:color w:val="000000"/>
              </w:rPr>
            </w:pPr>
            <w:r w:rsidRPr="000B3E73">
              <w:rPr>
                <w:b/>
                <w:bCs/>
                <w:color w:val="000000"/>
              </w:rPr>
              <w:t>Riska segums EUR</w:t>
            </w:r>
            <w:r w:rsidR="0098008C" w:rsidRPr="000B3E73">
              <w:rPr>
                <w:rStyle w:val="FootnoteReference"/>
                <w:b/>
                <w:bCs/>
                <w:color w:val="000000"/>
              </w:rPr>
              <w:footnoteReference w:id="6"/>
            </w:r>
          </w:p>
        </w:tc>
        <w:tc>
          <w:tcPr>
            <w:tcW w:w="1559" w:type="dxa"/>
          </w:tcPr>
          <w:p w14:paraId="4E4108DF" w14:textId="3E6E1CD0" w:rsidR="0036302F" w:rsidRPr="000B3E73" w:rsidRDefault="0036302F" w:rsidP="001D4CC6">
            <w:pPr>
              <w:jc w:val="center"/>
              <w:rPr>
                <w:b/>
                <w:bCs/>
                <w:color w:val="000000"/>
              </w:rPr>
            </w:pPr>
            <w:r w:rsidRPr="000B3E73">
              <w:rPr>
                <w:b/>
                <w:bCs/>
                <w:color w:val="000000"/>
              </w:rPr>
              <w:t>Riska segums (% no kopējā)</w:t>
            </w:r>
          </w:p>
        </w:tc>
        <w:tc>
          <w:tcPr>
            <w:tcW w:w="2268" w:type="dxa"/>
            <w:shd w:val="clear" w:color="auto" w:fill="auto"/>
            <w:vAlign w:val="bottom"/>
            <w:hideMark/>
          </w:tcPr>
          <w:p w14:paraId="5A8307DF" w14:textId="33CCAE21" w:rsidR="0036302F" w:rsidRPr="000B3E73" w:rsidRDefault="0036302F" w:rsidP="001D4CC6">
            <w:pPr>
              <w:jc w:val="center"/>
              <w:rPr>
                <w:b/>
                <w:bCs/>
                <w:color w:val="000000"/>
              </w:rPr>
            </w:pPr>
            <w:r w:rsidRPr="000B3E73">
              <w:rPr>
                <w:b/>
                <w:bCs/>
                <w:color w:val="000000"/>
              </w:rPr>
              <w:t>Minimālais izsniedzamais garantiju apjoms</w:t>
            </w:r>
          </w:p>
        </w:tc>
        <w:tc>
          <w:tcPr>
            <w:tcW w:w="2268" w:type="dxa"/>
            <w:shd w:val="clear" w:color="auto" w:fill="auto"/>
            <w:vAlign w:val="bottom"/>
            <w:hideMark/>
          </w:tcPr>
          <w:p w14:paraId="6FD1CD27" w14:textId="77777777" w:rsidR="0036302F" w:rsidRPr="000B3E73" w:rsidRDefault="0036302F" w:rsidP="001D4CC6">
            <w:pPr>
              <w:jc w:val="center"/>
              <w:rPr>
                <w:b/>
                <w:bCs/>
                <w:color w:val="000000"/>
              </w:rPr>
            </w:pPr>
            <w:r w:rsidRPr="000B3E73">
              <w:rPr>
                <w:b/>
                <w:bCs/>
                <w:color w:val="000000"/>
              </w:rPr>
              <w:t>Minimālais izsniedzamais aizdevumu apjoms</w:t>
            </w:r>
          </w:p>
        </w:tc>
      </w:tr>
      <w:tr w:rsidR="00B6229C" w:rsidRPr="000B3E73" w14:paraId="02CA2938" w14:textId="77777777" w:rsidTr="006F17EA">
        <w:trPr>
          <w:trHeight w:val="300"/>
        </w:trPr>
        <w:tc>
          <w:tcPr>
            <w:tcW w:w="1176" w:type="dxa"/>
            <w:shd w:val="clear" w:color="auto" w:fill="auto"/>
            <w:noWrap/>
            <w:vAlign w:val="bottom"/>
            <w:hideMark/>
          </w:tcPr>
          <w:p w14:paraId="5BC3CD1F" w14:textId="77777777" w:rsidR="00B6229C" w:rsidRPr="000B3E73" w:rsidRDefault="00B6229C" w:rsidP="00B6229C">
            <w:pPr>
              <w:jc w:val="center"/>
              <w:rPr>
                <w:color w:val="000000"/>
              </w:rPr>
            </w:pPr>
            <w:r w:rsidRPr="000B3E73">
              <w:rPr>
                <w:color w:val="000000"/>
              </w:rPr>
              <w:t>1</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1134E" w14:textId="753FC2A4" w:rsidR="00B6229C" w:rsidRPr="000B3E73" w:rsidRDefault="00B6229C" w:rsidP="00B6229C">
            <w:pPr>
              <w:jc w:val="center"/>
              <w:rPr>
                <w:color w:val="000000"/>
              </w:rPr>
            </w:pPr>
            <w:r w:rsidRPr="000B3E73">
              <w:rPr>
                <w:color w:val="000000"/>
              </w:rPr>
              <w:t>1 600 000</w:t>
            </w:r>
          </w:p>
        </w:tc>
        <w:tc>
          <w:tcPr>
            <w:tcW w:w="1559" w:type="dxa"/>
          </w:tcPr>
          <w:p w14:paraId="443F620D" w14:textId="00A02D09" w:rsidR="00B6229C" w:rsidRPr="000B3E73" w:rsidRDefault="00B6229C" w:rsidP="00B6229C">
            <w:pPr>
              <w:jc w:val="center"/>
              <w:rPr>
                <w:color w:val="000000"/>
              </w:rPr>
            </w:pPr>
            <w:r w:rsidRPr="000B3E73">
              <w:t>32%</w:t>
            </w:r>
          </w:p>
        </w:tc>
        <w:tc>
          <w:tcPr>
            <w:tcW w:w="2268" w:type="dxa"/>
            <w:shd w:val="clear" w:color="auto" w:fill="auto"/>
            <w:noWrap/>
          </w:tcPr>
          <w:p w14:paraId="1B6E402D" w14:textId="276B6454" w:rsidR="00B6229C" w:rsidRPr="000B3E73" w:rsidRDefault="00B6229C" w:rsidP="00B6229C">
            <w:pPr>
              <w:jc w:val="center"/>
              <w:rPr>
                <w:color w:val="000000"/>
              </w:rPr>
            </w:pPr>
            <w:r w:rsidRPr="000B3E73">
              <w:t xml:space="preserve"> 9 142 857 </w:t>
            </w:r>
          </w:p>
        </w:tc>
        <w:tc>
          <w:tcPr>
            <w:tcW w:w="2268" w:type="dxa"/>
            <w:shd w:val="clear" w:color="auto" w:fill="auto"/>
            <w:noWrap/>
          </w:tcPr>
          <w:p w14:paraId="6FA0B199" w14:textId="7FFE1C86" w:rsidR="00B6229C" w:rsidRPr="000B3E73" w:rsidRDefault="00B6229C" w:rsidP="00B6229C">
            <w:pPr>
              <w:jc w:val="center"/>
              <w:rPr>
                <w:color w:val="000000"/>
              </w:rPr>
            </w:pPr>
            <w:r w:rsidRPr="000B3E73">
              <w:t xml:space="preserve"> 11 428 571 </w:t>
            </w:r>
          </w:p>
        </w:tc>
      </w:tr>
      <w:tr w:rsidR="00B6229C" w:rsidRPr="000B3E73" w14:paraId="6A13F303" w14:textId="77777777" w:rsidTr="006F17EA">
        <w:trPr>
          <w:trHeight w:val="300"/>
        </w:trPr>
        <w:tc>
          <w:tcPr>
            <w:tcW w:w="1176" w:type="dxa"/>
            <w:shd w:val="clear" w:color="auto" w:fill="auto"/>
            <w:noWrap/>
            <w:vAlign w:val="bottom"/>
            <w:hideMark/>
          </w:tcPr>
          <w:p w14:paraId="209BF122" w14:textId="77777777" w:rsidR="00B6229C" w:rsidRPr="000B3E73" w:rsidRDefault="00B6229C" w:rsidP="00B6229C">
            <w:pPr>
              <w:jc w:val="center"/>
              <w:rPr>
                <w:color w:val="000000"/>
              </w:rPr>
            </w:pPr>
            <w:r w:rsidRPr="000B3E73">
              <w:rPr>
                <w:color w:val="000000"/>
              </w:rPr>
              <w:t>2</w:t>
            </w:r>
          </w:p>
        </w:tc>
        <w:tc>
          <w:tcPr>
            <w:tcW w:w="1375" w:type="dxa"/>
            <w:tcBorders>
              <w:top w:val="nil"/>
              <w:left w:val="single" w:sz="4" w:space="0" w:color="auto"/>
              <w:bottom w:val="single" w:sz="4" w:space="0" w:color="auto"/>
              <w:right w:val="single" w:sz="4" w:space="0" w:color="auto"/>
            </w:tcBorders>
            <w:shd w:val="clear" w:color="auto" w:fill="auto"/>
            <w:noWrap/>
            <w:vAlign w:val="center"/>
            <w:hideMark/>
          </w:tcPr>
          <w:p w14:paraId="197E6A24" w14:textId="679F696C" w:rsidR="00B6229C" w:rsidRPr="000B3E73" w:rsidRDefault="00B6229C" w:rsidP="00B6229C">
            <w:pPr>
              <w:jc w:val="center"/>
              <w:rPr>
                <w:color w:val="000000"/>
              </w:rPr>
            </w:pPr>
            <w:r w:rsidRPr="000B3E73">
              <w:rPr>
                <w:color w:val="000000"/>
              </w:rPr>
              <w:t>1 400 000</w:t>
            </w:r>
          </w:p>
        </w:tc>
        <w:tc>
          <w:tcPr>
            <w:tcW w:w="1559" w:type="dxa"/>
          </w:tcPr>
          <w:p w14:paraId="1EB22D77" w14:textId="1BEC5C4F" w:rsidR="00B6229C" w:rsidRPr="000B3E73" w:rsidRDefault="00B6229C" w:rsidP="00B6229C">
            <w:pPr>
              <w:jc w:val="center"/>
              <w:rPr>
                <w:color w:val="000000"/>
              </w:rPr>
            </w:pPr>
            <w:r w:rsidRPr="000B3E73">
              <w:t>28%</w:t>
            </w:r>
          </w:p>
        </w:tc>
        <w:tc>
          <w:tcPr>
            <w:tcW w:w="2268" w:type="dxa"/>
            <w:shd w:val="clear" w:color="auto" w:fill="auto"/>
            <w:noWrap/>
          </w:tcPr>
          <w:p w14:paraId="21BAA7D1" w14:textId="5DF4AB1A" w:rsidR="00B6229C" w:rsidRPr="000B3E73" w:rsidRDefault="00B6229C" w:rsidP="00B6229C">
            <w:pPr>
              <w:jc w:val="center"/>
              <w:rPr>
                <w:color w:val="000000"/>
              </w:rPr>
            </w:pPr>
            <w:r w:rsidRPr="000B3E73">
              <w:t xml:space="preserve"> 8 000 000 </w:t>
            </w:r>
          </w:p>
        </w:tc>
        <w:tc>
          <w:tcPr>
            <w:tcW w:w="2268" w:type="dxa"/>
            <w:shd w:val="clear" w:color="auto" w:fill="auto"/>
            <w:noWrap/>
          </w:tcPr>
          <w:p w14:paraId="10C4D45F" w14:textId="5299398A" w:rsidR="00B6229C" w:rsidRPr="000B3E73" w:rsidRDefault="00B6229C" w:rsidP="00B6229C">
            <w:pPr>
              <w:jc w:val="center"/>
              <w:rPr>
                <w:color w:val="000000"/>
              </w:rPr>
            </w:pPr>
            <w:r w:rsidRPr="000B3E73">
              <w:t xml:space="preserve"> 10 000 000 </w:t>
            </w:r>
          </w:p>
        </w:tc>
      </w:tr>
      <w:tr w:rsidR="00B6229C" w:rsidRPr="000B3E73" w14:paraId="1EC73C72" w14:textId="77777777" w:rsidTr="006F17EA">
        <w:trPr>
          <w:trHeight w:val="300"/>
        </w:trPr>
        <w:tc>
          <w:tcPr>
            <w:tcW w:w="1176" w:type="dxa"/>
            <w:shd w:val="clear" w:color="auto" w:fill="auto"/>
            <w:noWrap/>
            <w:vAlign w:val="bottom"/>
            <w:hideMark/>
          </w:tcPr>
          <w:p w14:paraId="1A5EA444" w14:textId="77777777" w:rsidR="00B6229C" w:rsidRPr="000B3E73" w:rsidRDefault="00B6229C" w:rsidP="00B6229C">
            <w:pPr>
              <w:jc w:val="center"/>
              <w:rPr>
                <w:color w:val="000000"/>
              </w:rPr>
            </w:pPr>
            <w:r w:rsidRPr="000B3E73">
              <w:rPr>
                <w:color w:val="000000"/>
              </w:rPr>
              <w:t>3</w:t>
            </w:r>
          </w:p>
        </w:tc>
        <w:tc>
          <w:tcPr>
            <w:tcW w:w="1375" w:type="dxa"/>
            <w:tcBorders>
              <w:top w:val="nil"/>
              <w:left w:val="single" w:sz="4" w:space="0" w:color="auto"/>
              <w:bottom w:val="single" w:sz="4" w:space="0" w:color="auto"/>
              <w:right w:val="single" w:sz="4" w:space="0" w:color="auto"/>
            </w:tcBorders>
            <w:shd w:val="clear" w:color="auto" w:fill="auto"/>
            <w:noWrap/>
            <w:vAlign w:val="center"/>
            <w:hideMark/>
          </w:tcPr>
          <w:p w14:paraId="3BD086F1" w14:textId="2BF30EC9" w:rsidR="00B6229C" w:rsidRPr="000B3E73" w:rsidRDefault="00B6229C" w:rsidP="00B6229C">
            <w:pPr>
              <w:jc w:val="center"/>
              <w:rPr>
                <w:color w:val="000000"/>
              </w:rPr>
            </w:pPr>
            <w:r w:rsidRPr="000B3E73">
              <w:rPr>
                <w:color w:val="000000"/>
              </w:rPr>
              <w:t>1 000 000</w:t>
            </w:r>
          </w:p>
        </w:tc>
        <w:tc>
          <w:tcPr>
            <w:tcW w:w="1559" w:type="dxa"/>
          </w:tcPr>
          <w:p w14:paraId="366B0478" w14:textId="559DF25B" w:rsidR="00B6229C" w:rsidRPr="000B3E73" w:rsidRDefault="00B6229C" w:rsidP="00B6229C">
            <w:pPr>
              <w:jc w:val="center"/>
              <w:rPr>
                <w:color w:val="000000"/>
              </w:rPr>
            </w:pPr>
            <w:r w:rsidRPr="000B3E73">
              <w:t>20%</w:t>
            </w:r>
          </w:p>
        </w:tc>
        <w:tc>
          <w:tcPr>
            <w:tcW w:w="2268" w:type="dxa"/>
            <w:shd w:val="clear" w:color="auto" w:fill="auto"/>
            <w:noWrap/>
          </w:tcPr>
          <w:p w14:paraId="49D594E8" w14:textId="0E54F451" w:rsidR="00B6229C" w:rsidRPr="000B3E73" w:rsidRDefault="00B6229C" w:rsidP="00B6229C">
            <w:pPr>
              <w:jc w:val="center"/>
              <w:rPr>
                <w:color w:val="000000"/>
              </w:rPr>
            </w:pPr>
            <w:r w:rsidRPr="000B3E73">
              <w:t xml:space="preserve"> 5 714 286 </w:t>
            </w:r>
          </w:p>
        </w:tc>
        <w:tc>
          <w:tcPr>
            <w:tcW w:w="2268" w:type="dxa"/>
            <w:shd w:val="clear" w:color="auto" w:fill="auto"/>
            <w:noWrap/>
          </w:tcPr>
          <w:p w14:paraId="21BE5B74" w14:textId="5B413C85" w:rsidR="00B6229C" w:rsidRPr="000B3E73" w:rsidRDefault="00B6229C" w:rsidP="00B6229C">
            <w:pPr>
              <w:jc w:val="center"/>
              <w:rPr>
                <w:color w:val="000000"/>
              </w:rPr>
            </w:pPr>
            <w:r w:rsidRPr="000B3E73">
              <w:t xml:space="preserve"> 7 142 857 </w:t>
            </w:r>
          </w:p>
        </w:tc>
      </w:tr>
      <w:tr w:rsidR="00B6229C" w:rsidRPr="000B3E73" w14:paraId="0B07FF88" w14:textId="77777777" w:rsidTr="006F17EA">
        <w:trPr>
          <w:trHeight w:val="300"/>
        </w:trPr>
        <w:tc>
          <w:tcPr>
            <w:tcW w:w="1176" w:type="dxa"/>
            <w:shd w:val="clear" w:color="auto" w:fill="auto"/>
            <w:noWrap/>
            <w:vAlign w:val="bottom"/>
            <w:hideMark/>
          </w:tcPr>
          <w:p w14:paraId="5C66A9F1" w14:textId="77777777" w:rsidR="00B6229C" w:rsidRPr="000B3E73" w:rsidRDefault="00B6229C" w:rsidP="00B6229C">
            <w:pPr>
              <w:jc w:val="center"/>
              <w:rPr>
                <w:color w:val="000000"/>
              </w:rPr>
            </w:pPr>
            <w:r w:rsidRPr="000B3E73">
              <w:rPr>
                <w:color w:val="000000"/>
              </w:rPr>
              <w:t>4</w:t>
            </w:r>
          </w:p>
        </w:tc>
        <w:tc>
          <w:tcPr>
            <w:tcW w:w="1375" w:type="dxa"/>
            <w:tcBorders>
              <w:top w:val="nil"/>
              <w:left w:val="single" w:sz="4" w:space="0" w:color="auto"/>
              <w:bottom w:val="single" w:sz="4" w:space="0" w:color="auto"/>
              <w:right w:val="single" w:sz="4" w:space="0" w:color="auto"/>
            </w:tcBorders>
            <w:shd w:val="clear" w:color="auto" w:fill="auto"/>
            <w:noWrap/>
            <w:vAlign w:val="center"/>
            <w:hideMark/>
          </w:tcPr>
          <w:p w14:paraId="69927C28" w14:textId="3DA69809" w:rsidR="00B6229C" w:rsidRPr="000B3E73" w:rsidRDefault="00B6229C" w:rsidP="00B6229C">
            <w:pPr>
              <w:jc w:val="center"/>
              <w:rPr>
                <w:color w:val="000000"/>
              </w:rPr>
            </w:pPr>
            <w:r w:rsidRPr="000B3E73">
              <w:rPr>
                <w:color w:val="000000"/>
              </w:rPr>
              <w:t>500 000</w:t>
            </w:r>
          </w:p>
        </w:tc>
        <w:tc>
          <w:tcPr>
            <w:tcW w:w="1559" w:type="dxa"/>
          </w:tcPr>
          <w:p w14:paraId="3F482BC0" w14:textId="2767601E" w:rsidR="00B6229C" w:rsidRPr="000B3E73" w:rsidRDefault="00B6229C" w:rsidP="00B6229C">
            <w:pPr>
              <w:jc w:val="center"/>
              <w:rPr>
                <w:color w:val="000000"/>
              </w:rPr>
            </w:pPr>
            <w:r w:rsidRPr="000B3E73">
              <w:t>10%</w:t>
            </w:r>
          </w:p>
        </w:tc>
        <w:tc>
          <w:tcPr>
            <w:tcW w:w="2268" w:type="dxa"/>
            <w:shd w:val="clear" w:color="auto" w:fill="auto"/>
            <w:noWrap/>
          </w:tcPr>
          <w:p w14:paraId="33B2032B" w14:textId="6C2D822B" w:rsidR="00B6229C" w:rsidRPr="000B3E73" w:rsidRDefault="00B6229C" w:rsidP="00B6229C">
            <w:pPr>
              <w:jc w:val="center"/>
              <w:rPr>
                <w:color w:val="000000"/>
              </w:rPr>
            </w:pPr>
            <w:r w:rsidRPr="000B3E73">
              <w:t xml:space="preserve"> 2 857 143 </w:t>
            </w:r>
          </w:p>
        </w:tc>
        <w:tc>
          <w:tcPr>
            <w:tcW w:w="2268" w:type="dxa"/>
            <w:shd w:val="clear" w:color="auto" w:fill="auto"/>
            <w:noWrap/>
          </w:tcPr>
          <w:p w14:paraId="4F304D08" w14:textId="70BBAEE7" w:rsidR="00B6229C" w:rsidRPr="000B3E73" w:rsidRDefault="00B6229C" w:rsidP="00B6229C">
            <w:pPr>
              <w:jc w:val="center"/>
              <w:rPr>
                <w:color w:val="000000"/>
              </w:rPr>
            </w:pPr>
            <w:r w:rsidRPr="000B3E73">
              <w:t xml:space="preserve"> 3 571 429 </w:t>
            </w:r>
          </w:p>
        </w:tc>
      </w:tr>
      <w:tr w:rsidR="00B6229C" w:rsidRPr="000B3E73" w14:paraId="65ABD998" w14:textId="77777777" w:rsidTr="006F17EA">
        <w:trPr>
          <w:trHeight w:val="300"/>
        </w:trPr>
        <w:tc>
          <w:tcPr>
            <w:tcW w:w="1176" w:type="dxa"/>
            <w:shd w:val="clear" w:color="auto" w:fill="auto"/>
            <w:noWrap/>
            <w:vAlign w:val="bottom"/>
            <w:hideMark/>
          </w:tcPr>
          <w:p w14:paraId="4CE2ACCB" w14:textId="77777777" w:rsidR="00B6229C" w:rsidRPr="000B3E73" w:rsidRDefault="00B6229C" w:rsidP="00B6229C">
            <w:pPr>
              <w:jc w:val="center"/>
              <w:rPr>
                <w:color w:val="000000"/>
              </w:rPr>
            </w:pPr>
            <w:r w:rsidRPr="000B3E73">
              <w:rPr>
                <w:color w:val="000000"/>
              </w:rPr>
              <w:t>5</w:t>
            </w:r>
          </w:p>
        </w:tc>
        <w:tc>
          <w:tcPr>
            <w:tcW w:w="1375" w:type="dxa"/>
            <w:tcBorders>
              <w:top w:val="nil"/>
              <w:left w:val="single" w:sz="4" w:space="0" w:color="auto"/>
              <w:bottom w:val="single" w:sz="4" w:space="0" w:color="auto"/>
              <w:right w:val="single" w:sz="4" w:space="0" w:color="auto"/>
            </w:tcBorders>
            <w:shd w:val="clear" w:color="auto" w:fill="auto"/>
            <w:noWrap/>
            <w:vAlign w:val="center"/>
            <w:hideMark/>
          </w:tcPr>
          <w:p w14:paraId="2F0BBDEA" w14:textId="5A7D2F93" w:rsidR="00B6229C" w:rsidRPr="000B3E73" w:rsidRDefault="00B6229C" w:rsidP="00B6229C">
            <w:pPr>
              <w:jc w:val="center"/>
              <w:rPr>
                <w:color w:val="000000"/>
              </w:rPr>
            </w:pPr>
            <w:r w:rsidRPr="000B3E73">
              <w:rPr>
                <w:color w:val="000000"/>
              </w:rPr>
              <w:t>300 000</w:t>
            </w:r>
          </w:p>
        </w:tc>
        <w:tc>
          <w:tcPr>
            <w:tcW w:w="1559" w:type="dxa"/>
          </w:tcPr>
          <w:p w14:paraId="30C3F55E" w14:textId="43DF32F8" w:rsidR="00B6229C" w:rsidRPr="000B3E73" w:rsidRDefault="00B6229C" w:rsidP="00B6229C">
            <w:pPr>
              <w:jc w:val="center"/>
              <w:rPr>
                <w:color w:val="000000"/>
              </w:rPr>
            </w:pPr>
            <w:r w:rsidRPr="000B3E73">
              <w:t>6%</w:t>
            </w:r>
          </w:p>
        </w:tc>
        <w:tc>
          <w:tcPr>
            <w:tcW w:w="2268" w:type="dxa"/>
            <w:shd w:val="clear" w:color="auto" w:fill="auto"/>
            <w:noWrap/>
          </w:tcPr>
          <w:p w14:paraId="70818F80" w14:textId="28E7950C" w:rsidR="00B6229C" w:rsidRPr="000B3E73" w:rsidRDefault="00B6229C" w:rsidP="00B6229C">
            <w:pPr>
              <w:jc w:val="center"/>
              <w:rPr>
                <w:color w:val="000000"/>
              </w:rPr>
            </w:pPr>
            <w:r w:rsidRPr="000B3E73">
              <w:t xml:space="preserve"> 1 714 286 </w:t>
            </w:r>
          </w:p>
        </w:tc>
        <w:tc>
          <w:tcPr>
            <w:tcW w:w="2268" w:type="dxa"/>
            <w:shd w:val="clear" w:color="auto" w:fill="auto"/>
            <w:noWrap/>
          </w:tcPr>
          <w:p w14:paraId="356B0501" w14:textId="6B31C608" w:rsidR="00B6229C" w:rsidRPr="000B3E73" w:rsidRDefault="00B6229C" w:rsidP="00B6229C">
            <w:pPr>
              <w:jc w:val="center"/>
              <w:rPr>
                <w:color w:val="000000"/>
              </w:rPr>
            </w:pPr>
            <w:r w:rsidRPr="000B3E73">
              <w:t xml:space="preserve"> 2 142 857 </w:t>
            </w:r>
          </w:p>
        </w:tc>
      </w:tr>
      <w:tr w:rsidR="00B6229C" w:rsidRPr="000B3E73" w14:paraId="3D2417AB" w14:textId="77777777" w:rsidTr="006F17EA">
        <w:trPr>
          <w:trHeight w:val="300"/>
        </w:trPr>
        <w:tc>
          <w:tcPr>
            <w:tcW w:w="1176" w:type="dxa"/>
            <w:shd w:val="clear" w:color="auto" w:fill="auto"/>
            <w:noWrap/>
            <w:vAlign w:val="bottom"/>
            <w:hideMark/>
          </w:tcPr>
          <w:p w14:paraId="0CC77B15" w14:textId="77777777" w:rsidR="00B6229C" w:rsidRPr="000B3E73" w:rsidRDefault="00B6229C" w:rsidP="00B6229C">
            <w:pPr>
              <w:jc w:val="center"/>
              <w:rPr>
                <w:color w:val="000000"/>
              </w:rPr>
            </w:pPr>
            <w:r w:rsidRPr="000B3E73">
              <w:rPr>
                <w:color w:val="000000"/>
              </w:rPr>
              <w:t>6</w:t>
            </w:r>
          </w:p>
        </w:tc>
        <w:tc>
          <w:tcPr>
            <w:tcW w:w="1375" w:type="dxa"/>
            <w:tcBorders>
              <w:top w:val="nil"/>
              <w:left w:val="single" w:sz="4" w:space="0" w:color="auto"/>
              <w:bottom w:val="single" w:sz="4" w:space="0" w:color="auto"/>
              <w:right w:val="single" w:sz="4" w:space="0" w:color="auto"/>
            </w:tcBorders>
            <w:shd w:val="clear" w:color="auto" w:fill="auto"/>
            <w:noWrap/>
            <w:vAlign w:val="center"/>
            <w:hideMark/>
          </w:tcPr>
          <w:p w14:paraId="5BC98674" w14:textId="2D0AE15C" w:rsidR="00B6229C" w:rsidRPr="000B3E73" w:rsidRDefault="00B6229C" w:rsidP="00B6229C">
            <w:pPr>
              <w:jc w:val="center"/>
              <w:rPr>
                <w:color w:val="000000"/>
              </w:rPr>
            </w:pPr>
            <w:r w:rsidRPr="000B3E73">
              <w:rPr>
                <w:color w:val="000000"/>
              </w:rPr>
              <w:t>200 000</w:t>
            </w:r>
          </w:p>
        </w:tc>
        <w:tc>
          <w:tcPr>
            <w:tcW w:w="1559" w:type="dxa"/>
          </w:tcPr>
          <w:p w14:paraId="33DE8F55" w14:textId="64B3264A" w:rsidR="00B6229C" w:rsidRPr="000B3E73" w:rsidRDefault="00B6229C" w:rsidP="00B6229C">
            <w:pPr>
              <w:jc w:val="center"/>
              <w:rPr>
                <w:color w:val="000000"/>
              </w:rPr>
            </w:pPr>
            <w:r w:rsidRPr="000B3E73">
              <w:t>4%</w:t>
            </w:r>
          </w:p>
        </w:tc>
        <w:tc>
          <w:tcPr>
            <w:tcW w:w="2268" w:type="dxa"/>
            <w:shd w:val="clear" w:color="auto" w:fill="auto"/>
            <w:noWrap/>
          </w:tcPr>
          <w:p w14:paraId="5D380853" w14:textId="574DB6B7" w:rsidR="00B6229C" w:rsidRPr="000B3E73" w:rsidRDefault="00B6229C" w:rsidP="00B6229C">
            <w:pPr>
              <w:jc w:val="center"/>
              <w:rPr>
                <w:color w:val="000000"/>
              </w:rPr>
            </w:pPr>
            <w:r w:rsidRPr="000B3E73">
              <w:t xml:space="preserve"> 1 142 857 </w:t>
            </w:r>
          </w:p>
        </w:tc>
        <w:tc>
          <w:tcPr>
            <w:tcW w:w="2268" w:type="dxa"/>
            <w:shd w:val="clear" w:color="auto" w:fill="auto"/>
            <w:noWrap/>
          </w:tcPr>
          <w:p w14:paraId="49A43F7A" w14:textId="6F871352" w:rsidR="00B6229C" w:rsidRPr="000B3E73" w:rsidRDefault="00B6229C" w:rsidP="00B6229C">
            <w:pPr>
              <w:jc w:val="center"/>
              <w:rPr>
                <w:color w:val="000000"/>
              </w:rPr>
            </w:pPr>
            <w:r w:rsidRPr="000B3E73">
              <w:t xml:space="preserve"> 1 428 571 </w:t>
            </w:r>
          </w:p>
        </w:tc>
      </w:tr>
      <w:tr w:rsidR="00B6229C" w:rsidRPr="000B3E73" w14:paraId="310A45B9" w14:textId="77777777" w:rsidTr="006F17EA">
        <w:trPr>
          <w:trHeight w:val="300"/>
        </w:trPr>
        <w:tc>
          <w:tcPr>
            <w:tcW w:w="1176" w:type="dxa"/>
            <w:shd w:val="clear" w:color="auto" w:fill="auto"/>
            <w:noWrap/>
            <w:vAlign w:val="bottom"/>
            <w:hideMark/>
          </w:tcPr>
          <w:p w14:paraId="2CACC7A0" w14:textId="77777777" w:rsidR="00B6229C" w:rsidRPr="000B3E73" w:rsidRDefault="00B6229C" w:rsidP="00B6229C">
            <w:pPr>
              <w:jc w:val="center"/>
              <w:rPr>
                <w:b/>
                <w:bCs/>
                <w:color w:val="000000"/>
              </w:rPr>
            </w:pPr>
            <w:r w:rsidRPr="000B3E73">
              <w:rPr>
                <w:b/>
                <w:bCs/>
                <w:color w:val="000000"/>
              </w:rPr>
              <w:t>KOPĀ</w:t>
            </w:r>
          </w:p>
        </w:tc>
        <w:tc>
          <w:tcPr>
            <w:tcW w:w="1375" w:type="dxa"/>
            <w:tcBorders>
              <w:top w:val="nil"/>
              <w:left w:val="single" w:sz="4" w:space="0" w:color="auto"/>
              <w:bottom w:val="single" w:sz="4" w:space="0" w:color="auto"/>
              <w:right w:val="single" w:sz="4" w:space="0" w:color="auto"/>
            </w:tcBorders>
            <w:shd w:val="clear" w:color="auto" w:fill="auto"/>
            <w:noWrap/>
            <w:vAlign w:val="bottom"/>
            <w:hideMark/>
          </w:tcPr>
          <w:p w14:paraId="7B730A0E" w14:textId="140851D6" w:rsidR="00B6229C" w:rsidRPr="000B3E73" w:rsidRDefault="00B6229C" w:rsidP="00B6229C">
            <w:pPr>
              <w:jc w:val="center"/>
              <w:rPr>
                <w:b/>
                <w:bCs/>
                <w:color w:val="000000"/>
              </w:rPr>
            </w:pPr>
            <w:r w:rsidRPr="000B3E73">
              <w:rPr>
                <w:b/>
                <w:bCs/>
                <w:color w:val="000000"/>
              </w:rPr>
              <w:t>5 000 000</w:t>
            </w:r>
            <w:r w:rsidR="006F17EA" w:rsidRPr="000B3E73">
              <w:rPr>
                <w:rStyle w:val="FootnoteReference"/>
                <w:b/>
                <w:bCs/>
                <w:color w:val="000000"/>
              </w:rPr>
              <w:footnoteReference w:id="7"/>
            </w:r>
          </w:p>
        </w:tc>
        <w:tc>
          <w:tcPr>
            <w:tcW w:w="1559" w:type="dxa"/>
          </w:tcPr>
          <w:p w14:paraId="7AA182A8" w14:textId="47D0C8B0" w:rsidR="00B6229C" w:rsidRPr="000B3E73" w:rsidRDefault="00B6229C" w:rsidP="00B6229C">
            <w:pPr>
              <w:jc w:val="center"/>
              <w:rPr>
                <w:b/>
                <w:bCs/>
                <w:color w:val="000000"/>
              </w:rPr>
            </w:pPr>
            <w:r w:rsidRPr="000B3E73">
              <w:t>100%</w:t>
            </w:r>
          </w:p>
        </w:tc>
        <w:tc>
          <w:tcPr>
            <w:tcW w:w="2268" w:type="dxa"/>
            <w:shd w:val="clear" w:color="auto" w:fill="auto"/>
            <w:noWrap/>
          </w:tcPr>
          <w:p w14:paraId="0755BF7D" w14:textId="5B675DA6" w:rsidR="00B6229C" w:rsidRPr="000B3E73" w:rsidRDefault="00B6229C" w:rsidP="00B6229C">
            <w:pPr>
              <w:jc w:val="center"/>
              <w:rPr>
                <w:b/>
                <w:bCs/>
                <w:color w:val="000000"/>
              </w:rPr>
            </w:pPr>
            <w:r w:rsidRPr="000B3E73">
              <w:t>28 571 429</w:t>
            </w:r>
          </w:p>
        </w:tc>
        <w:tc>
          <w:tcPr>
            <w:tcW w:w="2268" w:type="dxa"/>
            <w:shd w:val="clear" w:color="auto" w:fill="auto"/>
            <w:noWrap/>
          </w:tcPr>
          <w:p w14:paraId="7F9FD062" w14:textId="2BFD18B7" w:rsidR="00B6229C" w:rsidRPr="000B3E73" w:rsidRDefault="00B6229C" w:rsidP="00B6229C">
            <w:pPr>
              <w:jc w:val="center"/>
              <w:rPr>
                <w:b/>
                <w:bCs/>
                <w:color w:val="000000"/>
              </w:rPr>
            </w:pPr>
            <w:r w:rsidRPr="000B3E73">
              <w:t>35 714 286</w:t>
            </w:r>
          </w:p>
        </w:tc>
      </w:tr>
    </w:tbl>
    <w:p w14:paraId="6EAE7288" w14:textId="77777777" w:rsidR="008F1629" w:rsidRPr="006D7D15" w:rsidRDefault="008F1629" w:rsidP="0036302F">
      <w:pPr>
        <w:pStyle w:val="ListParagraph"/>
        <w:spacing w:after="120"/>
        <w:ind w:left="360"/>
        <w:jc w:val="both"/>
        <w:rPr>
          <w:b/>
          <w:bCs/>
        </w:rPr>
      </w:pPr>
    </w:p>
    <w:p w14:paraId="7D1C8925" w14:textId="77777777" w:rsidR="006D7D15" w:rsidRDefault="006D7D15" w:rsidP="006D7D15">
      <w:pPr>
        <w:pStyle w:val="ListParagraph"/>
        <w:spacing w:after="120"/>
        <w:ind w:left="360"/>
        <w:jc w:val="both"/>
      </w:pPr>
    </w:p>
    <w:p w14:paraId="33C32AB1" w14:textId="77777777" w:rsidR="006D7D15" w:rsidRDefault="006D7D15" w:rsidP="006D7D15">
      <w:pPr>
        <w:pStyle w:val="ListParagraph"/>
        <w:spacing w:after="120"/>
        <w:ind w:left="360"/>
        <w:jc w:val="both"/>
      </w:pPr>
    </w:p>
    <w:p w14:paraId="5EBEC931" w14:textId="77777777" w:rsidR="006D7D15" w:rsidRDefault="006D7D15" w:rsidP="006D7D15">
      <w:pPr>
        <w:pStyle w:val="ListParagraph"/>
        <w:spacing w:after="120"/>
        <w:ind w:left="360"/>
        <w:jc w:val="both"/>
      </w:pPr>
      <w:r>
        <w:t xml:space="preserve">Pielikumā: </w:t>
      </w:r>
    </w:p>
    <w:p w14:paraId="279E4FFB" w14:textId="36C474C0" w:rsidR="006D7D15" w:rsidRDefault="006D7D15" w:rsidP="006D7D15">
      <w:pPr>
        <w:pStyle w:val="ListParagraph"/>
        <w:spacing w:after="120"/>
        <w:ind w:left="360"/>
        <w:jc w:val="both"/>
      </w:pPr>
      <w:r>
        <w:t xml:space="preserve">1. pielikums – </w:t>
      </w:r>
      <w:r w:rsidR="00E62FE8">
        <w:t>P</w:t>
      </w:r>
      <w:r>
        <w:t>ieteikum</w:t>
      </w:r>
      <w:r w:rsidR="00664DDA">
        <w:t>s</w:t>
      </w:r>
      <w:r>
        <w:t xml:space="preserve"> </w:t>
      </w:r>
      <w:r w:rsidR="00664DDA">
        <w:t>komersantu portfeļgarantiju programmai</w:t>
      </w:r>
      <w:r>
        <w:t xml:space="preserve">; </w:t>
      </w:r>
    </w:p>
    <w:p w14:paraId="2D930E0E" w14:textId="29BFBE59" w:rsidR="00A73DE7" w:rsidRDefault="006D7D15" w:rsidP="006D7D15">
      <w:pPr>
        <w:pStyle w:val="ListParagraph"/>
        <w:spacing w:after="120"/>
        <w:ind w:left="360"/>
        <w:jc w:val="both"/>
      </w:pPr>
      <w:r>
        <w:t xml:space="preserve">2. pielikums – </w:t>
      </w:r>
      <w:r w:rsidR="00E62FE8" w:rsidRPr="00E62FE8">
        <w:t xml:space="preserve">Komersantu portfeļgarantiju programmas </w:t>
      </w:r>
      <w:r>
        <w:t>pieteikumu vērtēšanas kritēriji</w:t>
      </w:r>
      <w:r w:rsidR="00E62FE8">
        <w:t xml:space="preserve">. </w:t>
      </w:r>
    </w:p>
    <w:p w14:paraId="4CD4193D" w14:textId="77777777" w:rsidR="00A73DE7" w:rsidRDefault="00A73DE7">
      <w:r>
        <w:br w:type="page"/>
      </w:r>
    </w:p>
    <w:p w14:paraId="1FA8046D" w14:textId="77777777" w:rsidR="00A73DE7" w:rsidRPr="0046313D" w:rsidRDefault="00A73DE7" w:rsidP="00A73DE7">
      <w:pPr>
        <w:jc w:val="right"/>
        <w:rPr>
          <w:i/>
        </w:rPr>
      </w:pPr>
      <w:r w:rsidRPr="0046313D">
        <w:rPr>
          <w:i/>
        </w:rPr>
        <w:lastRenderedPageBreak/>
        <w:t>2. pielikums</w:t>
      </w:r>
    </w:p>
    <w:p w14:paraId="0BBE8B63" w14:textId="23E6065E" w:rsidR="00A73DE7" w:rsidRPr="0046313D" w:rsidRDefault="00A73DE7" w:rsidP="00A73DE7">
      <w:pPr>
        <w:pStyle w:val="Heading1"/>
        <w:spacing w:before="120" w:after="120"/>
        <w:rPr>
          <w:rFonts w:ascii="Times New Roman" w:hAnsi="Times New Roman"/>
          <w:sz w:val="24"/>
          <w:szCs w:val="24"/>
        </w:rPr>
      </w:pPr>
      <w:r>
        <w:rPr>
          <w:rFonts w:ascii="Times New Roman" w:hAnsi="Times New Roman"/>
          <w:sz w:val="24"/>
          <w:szCs w:val="24"/>
        </w:rPr>
        <w:t>Komersantu</w:t>
      </w:r>
      <w:r w:rsidRPr="0046313D">
        <w:rPr>
          <w:rFonts w:ascii="Times New Roman" w:hAnsi="Times New Roman"/>
          <w:sz w:val="24"/>
          <w:szCs w:val="24"/>
        </w:rPr>
        <w:t xml:space="preserve"> portfeļgarantiju </w:t>
      </w:r>
      <w:r w:rsidR="00EE2522">
        <w:rPr>
          <w:rFonts w:ascii="Times New Roman" w:hAnsi="Times New Roman"/>
          <w:sz w:val="24"/>
          <w:szCs w:val="24"/>
        </w:rPr>
        <w:t xml:space="preserve">programmas </w:t>
      </w:r>
      <w:r w:rsidRPr="0046313D">
        <w:rPr>
          <w:rFonts w:ascii="Times New Roman" w:hAnsi="Times New Roman"/>
          <w:sz w:val="24"/>
          <w:szCs w:val="24"/>
        </w:rPr>
        <w:t>pieteikumu vērtēšanas kritēriji</w:t>
      </w:r>
    </w:p>
    <w:p w14:paraId="27F61AE0" w14:textId="77777777" w:rsidR="00A73DE7" w:rsidRPr="0046313D" w:rsidRDefault="00A73DE7" w:rsidP="00A73DE7">
      <w:pPr>
        <w:jc w:val="both"/>
      </w:pPr>
      <w:r w:rsidRPr="0046313D">
        <w:t>Pretendentu iesniegtie pieteikumi tiek vērtēti atbilstoši atbilstības kritērijiem un kvalitātes kritērijiem. Pretendenta atbilstību atbilstības un kvalitātes kritērijiem vērtē ar "jā" (atbilst) vai "nē" (neatbilst).</w:t>
      </w:r>
    </w:p>
    <w:p w14:paraId="2771C8E9" w14:textId="56039E12" w:rsidR="00A73DE7" w:rsidRDefault="00A73DE7" w:rsidP="00A73DE7">
      <w:pPr>
        <w:ind w:right="-2"/>
        <w:jc w:val="both"/>
      </w:pPr>
      <w:r w:rsidRPr="0046313D">
        <w:t>Pretendenta pieteikums tiek noraidīts, ja pieteikums neatbilst</w:t>
      </w:r>
      <w:r w:rsidRPr="0046313D">
        <w:rPr>
          <w:rStyle w:val="FootnoteReference"/>
        </w:rPr>
        <w:footnoteReference w:id="8"/>
      </w:r>
      <w:r w:rsidRPr="0046313D">
        <w:t xml:space="preserve"> vismaz vienam atbilstības vai kvalitātes kritērijam.</w:t>
      </w:r>
    </w:p>
    <w:p w14:paraId="63D3EBDC" w14:textId="14E012CB" w:rsidR="0042642A" w:rsidRPr="0046313D" w:rsidRDefault="0042642A" w:rsidP="00A73DE7">
      <w:pPr>
        <w:ind w:right="-2"/>
        <w:jc w:val="both"/>
      </w:pPr>
      <w:r>
        <w:t>Pretendentu pieteikumu sarindo atbilstoši kritērijiem pretendentu pieteikumu sarindošanai.</w:t>
      </w:r>
    </w:p>
    <w:p w14:paraId="53355BB3" w14:textId="77777777" w:rsidR="00A73DE7" w:rsidRPr="0046313D" w:rsidRDefault="00A73DE7" w:rsidP="00A73DE7">
      <w:pPr>
        <w:rPr>
          <w:b/>
        </w:rPr>
      </w:pPr>
    </w:p>
    <w:p w14:paraId="410BBFB0" w14:textId="6DAD6440" w:rsidR="00A73DE7" w:rsidRDefault="00A73DE7" w:rsidP="00A73DE7">
      <w:pPr>
        <w:jc w:val="center"/>
        <w:rPr>
          <w:b/>
        </w:rPr>
      </w:pPr>
      <w:r w:rsidRPr="0046313D">
        <w:rPr>
          <w:b/>
        </w:rPr>
        <w:t xml:space="preserve">I Atbilstības kritēriji </w:t>
      </w:r>
    </w:p>
    <w:p w14:paraId="2FEBD101" w14:textId="77777777" w:rsidR="0042642A" w:rsidRPr="0046313D" w:rsidRDefault="0042642A" w:rsidP="00A73DE7">
      <w:pPr>
        <w:jc w:val="center"/>
        <w:rPr>
          <w:b/>
        </w:rPr>
      </w:pPr>
    </w:p>
    <w:p w14:paraId="7AC59EB9" w14:textId="0E913512" w:rsidR="00A73DE7" w:rsidRDefault="00A73DE7" w:rsidP="00A73DE7">
      <w:pPr>
        <w:pStyle w:val="ListParagraph"/>
        <w:numPr>
          <w:ilvl w:val="0"/>
          <w:numId w:val="29"/>
        </w:numPr>
        <w:ind w:left="284" w:hanging="284"/>
        <w:jc w:val="both"/>
      </w:pPr>
      <w:r w:rsidRPr="0046313D">
        <w:t xml:space="preserve">Pretendents ir </w:t>
      </w:r>
      <w:r>
        <w:t xml:space="preserve">Latvijā reģistrēta kredītiestāde, </w:t>
      </w:r>
      <w:r w:rsidRPr="004B5F32">
        <w:t>kredītiestādes meitas sabiedrība, kura reģistrēta Latvijā un ir tiesīga sniegt finanšu pakalpojumus Latvijā</w:t>
      </w:r>
      <w:r>
        <w:t>, citā Eiropas Savienības dalībvalstī reģistrēta kredītiestāde, tās filiāle vai ārvalsts kredītiestādes filiāle, kura ir tiesīga sniegt kreditēšanas pakalpojumus Latvijā</w:t>
      </w:r>
      <w:r w:rsidRPr="0046313D">
        <w:t xml:space="preserve"> (turpmāk – kredītiestāde).</w:t>
      </w:r>
    </w:p>
    <w:p w14:paraId="0D5D017A" w14:textId="7978B969" w:rsidR="00394B4E" w:rsidRDefault="00394B4E" w:rsidP="00394B4E">
      <w:pPr>
        <w:pStyle w:val="ListParagraph"/>
        <w:numPr>
          <w:ilvl w:val="0"/>
          <w:numId w:val="29"/>
        </w:numPr>
        <w:ind w:left="284" w:hanging="284"/>
        <w:jc w:val="both"/>
      </w:pPr>
      <w:r>
        <w:t>Pretendentam nav pasludināts maksātnespējas process, ar tiesas spriedumu netiek īstenots tiesiskās aizsardzības process, ar tiesas lēmumu netiek īstenots ārpustiesas tiesiskās aizsardzības process, nav apturēta vai pārtraukta pretendenta saimnieciskā darbība, nav uzsākta tiesvedība par pretendenta  bankrotu, nav piemērota sanācija vai izlīgums vai līdz līguma izpildes paredzamajam beigu termiņam nebūs likvidācija.</w:t>
      </w:r>
    </w:p>
    <w:p w14:paraId="276DE92E" w14:textId="55816345" w:rsidR="00394B4E" w:rsidRDefault="00394B4E" w:rsidP="00F97574">
      <w:pPr>
        <w:pStyle w:val="ListParagraph"/>
        <w:numPr>
          <w:ilvl w:val="0"/>
          <w:numId w:val="29"/>
        </w:numPr>
        <w:ind w:left="284" w:hanging="284"/>
        <w:jc w:val="both"/>
      </w:pPr>
      <w:r>
        <w:t>Pretendentam nav Valsts ieņēmumu dienesta (turpmāk – VID) administrēto nodokļu (nodevu) parādi saskaņā ar VID datu bāzē pieejamo informāciju.</w:t>
      </w:r>
    </w:p>
    <w:p w14:paraId="0A670C9B" w14:textId="77777777" w:rsidR="00A73DE7" w:rsidRPr="0046313D" w:rsidRDefault="00A73DE7" w:rsidP="00A73DE7">
      <w:pPr>
        <w:pStyle w:val="ListParagraph"/>
        <w:numPr>
          <w:ilvl w:val="0"/>
          <w:numId w:val="29"/>
        </w:numPr>
        <w:ind w:left="284" w:hanging="284"/>
        <w:jc w:val="both"/>
      </w:pPr>
      <w:r w:rsidRPr="0046313D">
        <w:t>Pretendenta pieteikums ir noformēts atbilstoši noteikumu prasībām un ir iesniegta visa pieteikumā norādītā informācija un pamatojošā dokumentācija.</w:t>
      </w:r>
    </w:p>
    <w:p w14:paraId="2E5B5147" w14:textId="32687F70" w:rsidR="00A73DE7" w:rsidRDefault="00A73DE7" w:rsidP="00A73DE7">
      <w:pPr>
        <w:pStyle w:val="ListParagraph"/>
        <w:numPr>
          <w:ilvl w:val="0"/>
          <w:numId w:val="29"/>
        </w:numPr>
        <w:ind w:left="284" w:hanging="284"/>
        <w:jc w:val="both"/>
      </w:pPr>
      <w:r w:rsidRPr="0046313D">
        <w:t>Pretendents pieteikumu ir iesniedzis noteikumos norādītajā termiņā.</w:t>
      </w:r>
    </w:p>
    <w:p w14:paraId="0784288F" w14:textId="77777777" w:rsidR="005639F3" w:rsidRDefault="005639F3" w:rsidP="005639F3">
      <w:pPr>
        <w:pStyle w:val="ListParagraph"/>
        <w:ind w:left="1080"/>
        <w:jc w:val="center"/>
        <w:rPr>
          <w:b/>
        </w:rPr>
      </w:pPr>
    </w:p>
    <w:p w14:paraId="70C0949A" w14:textId="6FBE0417" w:rsidR="00464272" w:rsidRDefault="005639F3" w:rsidP="00464272">
      <w:pPr>
        <w:jc w:val="center"/>
        <w:rPr>
          <w:b/>
        </w:rPr>
      </w:pPr>
      <w:r w:rsidRPr="00464272">
        <w:rPr>
          <w:b/>
        </w:rPr>
        <w:t>II Kvalitātes kritēriji</w:t>
      </w:r>
      <w:r w:rsidR="00464272" w:rsidRPr="00464272">
        <w:rPr>
          <w:b/>
        </w:rPr>
        <w:t xml:space="preserve"> </w:t>
      </w:r>
    </w:p>
    <w:p w14:paraId="67AFD732" w14:textId="77777777" w:rsidR="0042642A" w:rsidRPr="00464272" w:rsidRDefault="0042642A" w:rsidP="00464272">
      <w:pPr>
        <w:jc w:val="center"/>
        <w:rPr>
          <w:b/>
        </w:rPr>
      </w:pPr>
    </w:p>
    <w:p w14:paraId="1BADEE27" w14:textId="29F4057E" w:rsidR="005639F3" w:rsidRPr="0097672F" w:rsidRDefault="005639F3" w:rsidP="005639F3">
      <w:pPr>
        <w:pStyle w:val="ListParagraph"/>
        <w:numPr>
          <w:ilvl w:val="0"/>
          <w:numId w:val="29"/>
        </w:numPr>
        <w:ind w:left="284" w:hanging="284"/>
        <w:jc w:val="both"/>
      </w:pPr>
      <w:r>
        <w:t xml:space="preserve">Pretendents ir pamatojis finansiālo priekšrocības nodošanu kredīta ņēmējiem ar kreditēšanas produktu, piemēram, ar aizdevumu % </w:t>
      </w:r>
      <w:r w:rsidRPr="0097672F">
        <w:t xml:space="preserve">likmes </w:t>
      </w:r>
      <w:r w:rsidRPr="002B4772">
        <w:t>vai nodrošinājuma koeficienta samazinājumu vai citā priekšrocībām produkta līmenī</w:t>
      </w:r>
      <w:r w:rsidRPr="0097672F">
        <w:t xml:space="preserve">. </w:t>
      </w:r>
    </w:p>
    <w:p w14:paraId="7A960623" w14:textId="335AB0A4" w:rsidR="005639F3" w:rsidRDefault="005639F3" w:rsidP="005639F3">
      <w:pPr>
        <w:pStyle w:val="ListParagraph"/>
        <w:numPr>
          <w:ilvl w:val="0"/>
          <w:numId w:val="29"/>
        </w:numPr>
        <w:ind w:left="284" w:hanging="284"/>
        <w:jc w:val="both"/>
      </w:pPr>
      <w:r>
        <w:t xml:space="preserve">Pretendents ir pamatojis, ka aizdevumu portfeli veidos atbilstoši līdzšinējai kredītpolitikai. </w:t>
      </w:r>
    </w:p>
    <w:p w14:paraId="687660DA" w14:textId="77777777" w:rsidR="005639F3" w:rsidRDefault="005639F3" w:rsidP="005639F3">
      <w:pPr>
        <w:pStyle w:val="ListParagraph"/>
        <w:numPr>
          <w:ilvl w:val="0"/>
          <w:numId w:val="29"/>
        </w:numPr>
        <w:ind w:left="284" w:hanging="284"/>
        <w:jc w:val="both"/>
      </w:pPr>
      <w:r>
        <w:t>Pretendents ir pamatojis plānoto izsniedzamo aizdevumu apjomu.</w:t>
      </w:r>
    </w:p>
    <w:p w14:paraId="5EBF7A80" w14:textId="1A0DD14F" w:rsidR="00A73DE7" w:rsidRPr="0046313D" w:rsidRDefault="005639F3" w:rsidP="005639F3">
      <w:pPr>
        <w:pStyle w:val="ListParagraph"/>
        <w:numPr>
          <w:ilvl w:val="0"/>
          <w:numId w:val="29"/>
        </w:numPr>
        <w:ind w:left="284" w:hanging="284"/>
        <w:jc w:val="both"/>
      </w:pPr>
      <w:r>
        <w:t>Pretendents atbilstoši kredītiestādes aizdevumu portfeļa risku novērtējumam ir pamatojis ierobežoto garantijas likmi.</w:t>
      </w:r>
    </w:p>
    <w:p w14:paraId="0049E8C3" w14:textId="77777777" w:rsidR="00A73DE7" w:rsidRPr="0046313D" w:rsidRDefault="00A73DE7" w:rsidP="00A73DE7">
      <w:pPr>
        <w:pStyle w:val="ListParagraph"/>
        <w:rPr>
          <w:b/>
        </w:rPr>
      </w:pPr>
    </w:p>
    <w:p w14:paraId="78D538A8" w14:textId="6405BE81" w:rsidR="00A73DE7" w:rsidRDefault="005639F3" w:rsidP="005639F3">
      <w:pPr>
        <w:jc w:val="center"/>
        <w:rPr>
          <w:b/>
        </w:rPr>
      </w:pPr>
      <w:bookmarkStart w:id="6" w:name="_Hlk100035860"/>
      <w:r w:rsidRPr="0046313D">
        <w:rPr>
          <w:b/>
        </w:rPr>
        <w:t>II</w:t>
      </w:r>
      <w:r>
        <w:rPr>
          <w:b/>
        </w:rPr>
        <w:t>I</w:t>
      </w:r>
      <w:r w:rsidRPr="0046313D">
        <w:rPr>
          <w:b/>
        </w:rPr>
        <w:t xml:space="preserve"> </w:t>
      </w:r>
      <w:r>
        <w:rPr>
          <w:b/>
        </w:rPr>
        <w:t>K</w:t>
      </w:r>
      <w:r w:rsidRPr="0046313D">
        <w:rPr>
          <w:b/>
        </w:rPr>
        <w:t xml:space="preserve">ritēriji </w:t>
      </w:r>
      <w:r>
        <w:rPr>
          <w:b/>
        </w:rPr>
        <w:t>pieteikumu sarindošanai</w:t>
      </w:r>
    </w:p>
    <w:p w14:paraId="4B6A5512" w14:textId="77777777" w:rsidR="0042642A" w:rsidRPr="005639F3" w:rsidRDefault="0042642A" w:rsidP="005639F3">
      <w:pPr>
        <w:jc w:val="center"/>
        <w:rPr>
          <w:b/>
        </w:rPr>
      </w:pPr>
    </w:p>
    <w:tbl>
      <w:tblPr>
        <w:tblW w:w="9209" w:type="dxa"/>
        <w:tblLook w:val="04A0" w:firstRow="1" w:lastRow="0" w:firstColumn="1" w:lastColumn="0" w:noHBand="0" w:noVBand="1"/>
      </w:tblPr>
      <w:tblGrid>
        <w:gridCol w:w="2997"/>
        <w:gridCol w:w="1216"/>
        <w:gridCol w:w="4996"/>
      </w:tblGrid>
      <w:tr w:rsidR="00A73DE7" w:rsidRPr="00D25701" w14:paraId="46420571"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bookmarkEnd w:id="6"/>
          <w:p w14:paraId="26EB71FB" w14:textId="77777777" w:rsidR="00A73DE7" w:rsidRPr="00D25701" w:rsidRDefault="00A73DE7" w:rsidP="00C15BBD">
            <w:pPr>
              <w:keepNext/>
              <w:jc w:val="center"/>
              <w:rPr>
                <w:b/>
                <w:sz w:val="20"/>
                <w:szCs w:val="20"/>
              </w:rPr>
            </w:pPr>
            <w:r w:rsidRPr="00D25701">
              <w:rPr>
                <w:b/>
                <w:sz w:val="20"/>
                <w:szCs w:val="20"/>
              </w:rPr>
              <w:t>Kritērijs</w:t>
            </w:r>
          </w:p>
        </w:tc>
        <w:tc>
          <w:tcPr>
            <w:tcW w:w="1216" w:type="dxa"/>
            <w:tcBorders>
              <w:top w:val="single" w:sz="4" w:space="0" w:color="auto"/>
              <w:left w:val="single" w:sz="4" w:space="0" w:color="auto"/>
              <w:bottom w:val="single" w:sz="4" w:space="0" w:color="auto"/>
              <w:right w:val="single" w:sz="4" w:space="0" w:color="auto"/>
            </w:tcBorders>
          </w:tcPr>
          <w:p w14:paraId="318061DB" w14:textId="77777777" w:rsidR="00A73DE7" w:rsidRPr="00D25701" w:rsidRDefault="00A73DE7" w:rsidP="00C15BBD">
            <w:pPr>
              <w:keepNext/>
              <w:jc w:val="center"/>
              <w:rPr>
                <w:b/>
                <w:sz w:val="20"/>
                <w:szCs w:val="20"/>
              </w:rPr>
            </w:pPr>
            <w:r w:rsidRPr="00D25701">
              <w:rPr>
                <w:b/>
                <w:sz w:val="20"/>
                <w:szCs w:val="20"/>
              </w:rPr>
              <w:t>Maksimālie punkti kritērijā</w:t>
            </w:r>
          </w:p>
        </w:tc>
        <w:tc>
          <w:tcPr>
            <w:tcW w:w="4996" w:type="dxa"/>
            <w:tcBorders>
              <w:top w:val="single" w:sz="4" w:space="0" w:color="auto"/>
              <w:left w:val="single" w:sz="4" w:space="0" w:color="auto"/>
              <w:bottom w:val="single" w:sz="4" w:space="0" w:color="auto"/>
              <w:right w:val="single" w:sz="4" w:space="0" w:color="auto"/>
            </w:tcBorders>
          </w:tcPr>
          <w:p w14:paraId="2536E6D3" w14:textId="77777777" w:rsidR="00A73DE7" w:rsidRPr="00D25701" w:rsidRDefault="00A73DE7" w:rsidP="00C15BBD">
            <w:pPr>
              <w:keepNext/>
              <w:jc w:val="center"/>
              <w:rPr>
                <w:b/>
                <w:sz w:val="20"/>
                <w:szCs w:val="20"/>
              </w:rPr>
            </w:pPr>
            <w:r w:rsidRPr="00D25701">
              <w:rPr>
                <w:b/>
                <w:sz w:val="20"/>
                <w:szCs w:val="20"/>
              </w:rPr>
              <w:t>Vērtējums kritērijā</w:t>
            </w:r>
          </w:p>
        </w:tc>
      </w:tr>
      <w:tr w:rsidR="00A73DE7" w:rsidRPr="00D25701" w14:paraId="0ECF6646"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6DD7A341" w14:textId="77777777" w:rsidR="00A73DE7" w:rsidRPr="00D25701" w:rsidRDefault="00A73DE7" w:rsidP="00A73DE7">
            <w:pPr>
              <w:pStyle w:val="ListParagraph"/>
              <w:keepNext/>
              <w:numPr>
                <w:ilvl w:val="0"/>
                <w:numId w:val="28"/>
              </w:numPr>
              <w:tabs>
                <w:tab w:val="clear" w:pos="360"/>
              </w:tabs>
              <w:ind w:left="22" w:firstLine="0"/>
              <w:jc w:val="both"/>
              <w:rPr>
                <w:sz w:val="18"/>
                <w:szCs w:val="18"/>
              </w:rPr>
            </w:pPr>
            <w:r w:rsidRPr="00D25701">
              <w:rPr>
                <w:b/>
                <w:sz w:val="18"/>
                <w:szCs w:val="18"/>
              </w:rPr>
              <w:t>Priekšrocību sniegšana komersantam</w:t>
            </w:r>
            <w:r w:rsidRPr="00D25701">
              <w:rPr>
                <w:sz w:val="18"/>
                <w:szCs w:val="18"/>
              </w:rPr>
              <w:t xml:space="preserve"> </w:t>
            </w:r>
            <w:r w:rsidRPr="00D25701">
              <w:rPr>
                <w:b/>
                <w:sz w:val="18"/>
                <w:szCs w:val="18"/>
              </w:rPr>
              <w:t>(P)</w:t>
            </w:r>
          </w:p>
        </w:tc>
        <w:tc>
          <w:tcPr>
            <w:tcW w:w="1216" w:type="dxa"/>
            <w:tcBorders>
              <w:top w:val="single" w:sz="4" w:space="0" w:color="auto"/>
              <w:left w:val="single" w:sz="4" w:space="0" w:color="auto"/>
              <w:bottom w:val="single" w:sz="4" w:space="0" w:color="auto"/>
              <w:right w:val="single" w:sz="4" w:space="0" w:color="auto"/>
            </w:tcBorders>
            <w:vAlign w:val="center"/>
          </w:tcPr>
          <w:p w14:paraId="049EE157" w14:textId="77777777" w:rsidR="00A73DE7" w:rsidRPr="00D25701" w:rsidRDefault="00A73DE7" w:rsidP="00C15BBD">
            <w:pPr>
              <w:keepNext/>
              <w:jc w:val="center"/>
              <w:rPr>
                <w:b/>
                <w:sz w:val="18"/>
                <w:szCs w:val="18"/>
              </w:rPr>
            </w:pPr>
            <w:r>
              <w:rPr>
                <w:b/>
                <w:sz w:val="18"/>
                <w:szCs w:val="18"/>
              </w:rPr>
              <w:t>45</w:t>
            </w:r>
          </w:p>
        </w:tc>
        <w:tc>
          <w:tcPr>
            <w:tcW w:w="4996" w:type="dxa"/>
            <w:tcBorders>
              <w:top w:val="single" w:sz="4" w:space="0" w:color="auto"/>
              <w:left w:val="single" w:sz="4" w:space="0" w:color="auto"/>
              <w:bottom w:val="single" w:sz="4" w:space="0" w:color="auto"/>
              <w:right w:val="single" w:sz="4" w:space="0" w:color="auto"/>
            </w:tcBorders>
          </w:tcPr>
          <w:p w14:paraId="5E37694C" w14:textId="77777777" w:rsidR="00A73DE7" w:rsidRPr="00D25701" w:rsidRDefault="00A73DE7" w:rsidP="00C15BBD">
            <w:pPr>
              <w:keepNext/>
              <w:jc w:val="both"/>
              <w:rPr>
                <w:b/>
                <w:sz w:val="18"/>
                <w:szCs w:val="18"/>
              </w:rPr>
            </w:pPr>
          </w:p>
        </w:tc>
      </w:tr>
      <w:tr w:rsidR="00A73DE7" w:rsidRPr="00D25701" w14:paraId="66AAD35D"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459340DB" w14:textId="77777777" w:rsidR="00A73DE7" w:rsidRPr="00D25701" w:rsidRDefault="00A73DE7" w:rsidP="00A73DE7">
            <w:pPr>
              <w:pStyle w:val="ListParagraph"/>
              <w:numPr>
                <w:ilvl w:val="0"/>
                <w:numId w:val="30"/>
              </w:numPr>
              <w:ind w:left="22" w:firstLine="7"/>
              <w:jc w:val="both"/>
              <w:rPr>
                <w:sz w:val="18"/>
                <w:szCs w:val="18"/>
              </w:rPr>
            </w:pPr>
            <w:r w:rsidRPr="00D25701">
              <w:rPr>
                <w:sz w:val="18"/>
                <w:szCs w:val="18"/>
              </w:rPr>
              <w:t xml:space="preserve">pretendenta piedāvātais finanšu pakalpojuma procentu likmes samazinājums komersantiem – starpība starp pretendenta finanšu pakalpojumu procentu likmi un pretendenta finanšu pakalpojuma procentu likmi ar portfeļgarantiju. </w:t>
            </w:r>
          </w:p>
          <w:p w14:paraId="3D2BD897" w14:textId="77777777" w:rsidR="00A73DE7" w:rsidRPr="00D25701" w:rsidRDefault="00A73DE7" w:rsidP="00C15BBD">
            <w:pPr>
              <w:pStyle w:val="ListParagraph"/>
              <w:ind w:left="22" w:firstLine="7"/>
              <w:jc w:val="both"/>
              <w:rPr>
                <w:sz w:val="18"/>
                <w:szCs w:val="18"/>
              </w:rPr>
            </w:pPr>
            <w:r w:rsidRPr="00D25701">
              <w:rPr>
                <w:sz w:val="18"/>
                <w:szCs w:val="18"/>
              </w:rPr>
              <w:lastRenderedPageBreak/>
              <w:t xml:space="preserve">(P1). </w:t>
            </w:r>
          </w:p>
        </w:tc>
        <w:tc>
          <w:tcPr>
            <w:tcW w:w="1216" w:type="dxa"/>
            <w:tcBorders>
              <w:top w:val="single" w:sz="4" w:space="0" w:color="auto"/>
              <w:left w:val="single" w:sz="4" w:space="0" w:color="auto"/>
              <w:bottom w:val="single" w:sz="4" w:space="0" w:color="auto"/>
              <w:right w:val="single" w:sz="4" w:space="0" w:color="auto"/>
            </w:tcBorders>
            <w:vAlign w:val="center"/>
          </w:tcPr>
          <w:p w14:paraId="5620FA30" w14:textId="77777777" w:rsidR="00A73DE7" w:rsidRPr="00D25701" w:rsidRDefault="00A73DE7" w:rsidP="00C15BBD">
            <w:pPr>
              <w:keepNext/>
              <w:jc w:val="center"/>
              <w:rPr>
                <w:sz w:val="18"/>
                <w:szCs w:val="18"/>
              </w:rPr>
            </w:pPr>
            <w:r w:rsidRPr="00D25701">
              <w:rPr>
                <w:sz w:val="18"/>
                <w:szCs w:val="18"/>
              </w:rPr>
              <w:lastRenderedPageBreak/>
              <w:t>30</w:t>
            </w:r>
          </w:p>
        </w:tc>
        <w:tc>
          <w:tcPr>
            <w:tcW w:w="4996" w:type="dxa"/>
            <w:tcBorders>
              <w:top w:val="single" w:sz="4" w:space="0" w:color="auto"/>
              <w:left w:val="single" w:sz="4" w:space="0" w:color="auto"/>
              <w:bottom w:val="single" w:sz="4" w:space="0" w:color="auto"/>
              <w:right w:val="single" w:sz="4" w:space="0" w:color="auto"/>
            </w:tcBorders>
          </w:tcPr>
          <w:p w14:paraId="4A2ADB67" w14:textId="77777777" w:rsidR="00A73DE7" w:rsidRPr="00D25701" w:rsidRDefault="00A73DE7" w:rsidP="00C15BBD">
            <w:pPr>
              <w:keepNext/>
              <w:jc w:val="both"/>
              <w:rPr>
                <w:sz w:val="18"/>
                <w:szCs w:val="18"/>
              </w:rPr>
            </w:pPr>
            <w:r w:rsidRPr="00D25701">
              <w:rPr>
                <w:sz w:val="18"/>
                <w:szCs w:val="18"/>
              </w:rPr>
              <w:t>Ja pieteikumā nav norādīta informācija, lai izvērtētu šo kritēriju, vērtējums ir 0.</w:t>
            </w:r>
          </w:p>
          <w:p w14:paraId="692FE1B2" w14:textId="77777777" w:rsidR="00A73DE7" w:rsidRPr="00D25701" w:rsidRDefault="00A73DE7" w:rsidP="00C15BBD">
            <w:pPr>
              <w:autoSpaceDE w:val="0"/>
              <w:autoSpaceDN w:val="0"/>
              <w:adjustRightInd w:val="0"/>
              <w:rPr>
                <w:sz w:val="18"/>
                <w:szCs w:val="18"/>
              </w:rPr>
            </w:pPr>
            <w:r w:rsidRPr="00D25701">
              <w:rPr>
                <w:sz w:val="18"/>
                <w:szCs w:val="18"/>
              </w:rPr>
              <w:t>Pretendenta iegūtos punktus apakškritērijā nosaka šādi:</w:t>
            </w:r>
          </w:p>
          <w:p w14:paraId="6CF25D5A" w14:textId="77777777" w:rsidR="00A73DE7" w:rsidRPr="00D25701" w:rsidRDefault="00A73DE7" w:rsidP="00C15BBD">
            <w:pPr>
              <w:autoSpaceDE w:val="0"/>
              <w:autoSpaceDN w:val="0"/>
              <w:adjustRightInd w:val="0"/>
              <w:rPr>
                <w:sz w:val="18"/>
                <w:szCs w:val="18"/>
              </w:rPr>
            </w:pPr>
            <w:r w:rsidRPr="00D25701">
              <w:rPr>
                <w:sz w:val="18"/>
                <w:szCs w:val="18"/>
              </w:rPr>
              <w:t>P1 = Px / Pmax*X, kur:</w:t>
            </w:r>
          </w:p>
          <w:p w14:paraId="28F430EB" w14:textId="77777777" w:rsidR="00A73DE7" w:rsidRPr="00D25701" w:rsidRDefault="00A73DE7" w:rsidP="00C15BBD">
            <w:pPr>
              <w:autoSpaceDE w:val="0"/>
              <w:autoSpaceDN w:val="0"/>
              <w:adjustRightInd w:val="0"/>
              <w:rPr>
                <w:sz w:val="18"/>
                <w:szCs w:val="18"/>
              </w:rPr>
            </w:pPr>
            <w:r w:rsidRPr="00D25701">
              <w:rPr>
                <w:sz w:val="18"/>
                <w:szCs w:val="18"/>
              </w:rPr>
              <w:t>P1 - apakškritērijā iegūtais punktu skaits;</w:t>
            </w:r>
          </w:p>
          <w:p w14:paraId="3B057E83" w14:textId="77777777" w:rsidR="00A73DE7" w:rsidRPr="00D25701" w:rsidRDefault="00A73DE7" w:rsidP="00C15BBD">
            <w:pPr>
              <w:autoSpaceDE w:val="0"/>
              <w:autoSpaceDN w:val="0"/>
              <w:adjustRightInd w:val="0"/>
              <w:rPr>
                <w:sz w:val="18"/>
                <w:szCs w:val="18"/>
              </w:rPr>
            </w:pPr>
            <w:r w:rsidRPr="00D25701">
              <w:rPr>
                <w:sz w:val="18"/>
                <w:szCs w:val="18"/>
              </w:rPr>
              <w:t>Px – pretendenta piedāvātais likmes samazinājums;</w:t>
            </w:r>
          </w:p>
          <w:p w14:paraId="5CD34AF1" w14:textId="77777777" w:rsidR="00A73DE7" w:rsidRPr="00D25701" w:rsidRDefault="00A73DE7" w:rsidP="00C15BBD">
            <w:pPr>
              <w:autoSpaceDE w:val="0"/>
              <w:autoSpaceDN w:val="0"/>
              <w:adjustRightInd w:val="0"/>
              <w:rPr>
                <w:sz w:val="18"/>
                <w:szCs w:val="18"/>
              </w:rPr>
            </w:pPr>
            <w:r w:rsidRPr="00D25701">
              <w:rPr>
                <w:sz w:val="18"/>
                <w:szCs w:val="18"/>
              </w:rPr>
              <w:t>Pmax – lielākais piedāvātais likmes samazinājums;</w:t>
            </w:r>
          </w:p>
          <w:p w14:paraId="30EEFA36" w14:textId="77777777" w:rsidR="00A73DE7" w:rsidRPr="00D25701" w:rsidRDefault="00A73DE7" w:rsidP="00C15BBD">
            <w:pPr>
              <w:autoSpaceDE w:val="0"/>
              <w:autoSpaceDN w:val="0"/>
              <w:adjustRightInd w:val="0"/>
              <w:rPr>
                <w:sz w:val="18"/>
                <w:szCs w:val="18"/>
              </w:rPr>
            </w:pPr>
            <w:r w:rsidRPr="00D25701">
              <w:rPr>
                <w:sz w:val="18"/>
                <w:szCs w:val="18"/>
              </w:rPr>
              <w:lastRenderedPageBreak/>
              <w:t>X-maksimālais punktu skaits apakškritērijā.</w:t>
            </w:r>
          </w:p>
          <w:p w14:paraId="5B01AA5B" w14:textId="77777777" w:rsidR="00A73DE7" w:rsidRPr="00D25701" w:rsidRDefault="00A73DE7" w:rsidP="00C15BBD">
            <w:pPr>
              <w:autoSpaceDE w:val="0"/>
              <w:autoSpaceDN w:val="0"/>
              <w:adjustRightInd w:val="0"/>
              <w:rPr>
                <w:strike/>
                <w:sz w:val="18"/>
                <w:szCs w:val="18"/>
              </w:rPr>
            </w:pPr>
          </w:p>
          <w:p w14:paraId="69F13C7F" w14:textId="77777777" w:rsidR="00A73DE7" w:rsidRPr="00D25701" w:rsidRDefault="00A73DE7" w:rsidP="00C15BBD">
            <w:pPr>
              <w:autoSpaceDE w:val="0"/>
              <w:autoSpaceDN w:val="0"/>
              <w:adjustRightInd w:val="0"/>
              <w:rPr>
                <w:strike/>
                <w:sz w:val="18"/>
                <w:szCs w:val="18"/>
              </w:rPr>
            </w:pPr>
            <w:r w:rsidRPr="00D25701">
              <w:rPr>
                <w:sz w:val="18"/>
                <w:szCs w:val="18"/>
              </w:rPr>
              <w:t>Minimālais procentu likmes samazinājums ir 0.3 procentu punkti.</w:t>
            </w:r>
          </w:p>
        </w:tc>
      </w:tr>
      <w:tr w:rsidR="00A73DE7" w:rsidRPr="00D25701" w14:paraId="1A6307C4"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427B80F5" w14:textId="77777777" w:rsidR="00A73DE7" w:rsidRPr="00D25701" w:rsidRDefault="00A73DE7" w:rsidP="00A73DE7">
            <w:pPr>
              <w:pStyle w:val="ListParagraph"/>
              <w:numPr>
                <w:ilvl w:val="0"/>
                <w:numId w:val="30"/>
              </w:numPr>
              <w:ind w:left="22" w:firstLine="142"/>
              <w:jc w:val="both"/>
              <w:rPr>
                <w:sz w:val="18"/>
                <w:szCs w:val="18"/>
              </w:rPr>
            </w:pPr>
            <w:r w:rsidRPr="00D25701">
              <w:rPr>
                <w:sz w:val="18"/>
                <w:szCs w:val="18"/>
              </w:rPr>
              <w:lastRenderedPageBreak/>
              <w:t>garantijas prēmijas maksāšanas avots – pretendents segs garantijas prēmiju no saviem resursiem vai pieprasīs to kompensēt  komersantam (P2).</w:t>
            </w:r>
          </w:p>
        </w:tc>
        <w:tc>
          <w:tcPr>
            <w:tcW w:w="1216" w:type="dxa"/>
            <w:tcBorders>
              <w:top w:val="single" w:sz="4" w:space="0" w:color="auto"/>
              <w:left w:val="single" w:sz="4" w:space="0" w:color="auto"/>
              <w:bottom w:val="single" w:sz="4" w:space="0" w:color="auto"/>
              <w:right w:val="single" w:sz="4" w:space="0" w:color="auto"/>
            </w:tcBorders>
            <w:vAlign w:val="center"/>
          </w:tcPr>
          <w:p w14:paraId="170F1F9B" w14:textId="77777777" w:rsidR="00A73DE7" w:rsidRPr="00D25701" w:rsidRDefault="00A73DE7" w:rsidP="00C15BBD">
            <w:pPr>
              <w:keepNext/>
              <w:jc w:val="center"/>
              <w:rPr>
                <w:sz w:val="20"/>
                <w:szCs w:val="20"/>
              </w:rPr>
            </w:pPr>
            <w:r>
              <w:rPr>
                <w:sz w:val="20"/>
                <w:szCs w:val="20"/>
              </w:rPr>
              <w:t>15</w:t>
            </w:r>
          </w:p>
        </w:tc>
        <w:tc>
          <w:tcPr>
            <w:tcW w:w="4996" w:type="dxa"/>
            <w:tcBorders>
              <w:top w:val="single" w:sz="4" w:space="0" w:color="auto"/>
              <w:left w:val="single" w:sz="4" w:space="0" w:color="auto"/>
              <w:bottom w:val="single" w:sz="4" w:space="0" w:color="auto"/>
              <w:right w:val="single" w:sz="4" w:space="0" w:color="auto"/>
            </w:tcBorders>
          </w:tcPr>
          <w:p w14:paraId="3A3C46AA" w14:textId="055427BB" w:rsidR="00A73DE7" w:rsidRPr="00D25701" w:rsidRDefault="00A73DE7" w:rsidP="00C15BBD">
            <w:pPr>
              <w:keepNext/>
              <w:jc w:val="both"/>
              <w:rPr>
                <w:sz w:val="18"/>
                <w:szCs w:val="18"/>
              </w:rPr>
            </w:pPr>
            <w:r w:rsidRPr="00D25701">
              <w:rPr>
                <w:sz w:val="18"/>
                <w:szCs w:val="18"/>
              </w:rPr>
              <w:t>Ja garantijas prēmiju maksās Pretendents -</w:t>
            </w:r>
            <w:r w:rsidR="00464272">
              <w:rPr>
                <w:sz w:val="18"/>
                <w:szCs w:val="18"/>
              </w:rPr>
              <w:t>15</w:t>
            </w:r>
            <w:r w:rsidRPr="00D25701">
              <w:rPr>
                <w:sz w:val="18"/>
                <w:szCs w:val="18"/>
              </w:rPr>
              <w:t xml:space="preserve"> punkti.</w:t>
            </w:r>
          </w:p>
          <w:p w14:paraId="356FBAEE" w14:textId="77777777" w:rsidR="00A73DE7" w:rsidRPr="00D25701" w:rsidRDefault="00A73DE7" w:rsidP="00C15BBD">
            <w:pPr>
              <w:keepNext/>
              <w:jc w:val="both"/>
              <w:rPr>
                <w:sz w:val="18"/>
                <w:szCs w:val="20"/>
              </w:rPr>
            </w:pPr>
            <w:r w:rsidRPr="00D25701">
              <w:rPr>
                <w:sz w:val="18"/>
                <w:szCs w:val="18"/>
              </w:rPr>
              <w:t>Ja garantijas prēmiju Pretendents pieprasīs kompensēt  komersantam -0 punkti.</w:t>
            </w:r>
          </w:p>
        </w:tc>
      </w:tr>
      <w:tr w:rsidR="00A73DE7" w:rsidRPr="00D25701" w14:paraId="2B6F48FA"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642DB2BB" w14:textId="77777777" w:rsidR="00A73DE7" w:rsidRPr="00D25701" w:rsidRDefault="00A73DE7" w:rsidP="00A73DE7">
            <w:pPr>
              <w:pStyle w:val="ListParagraph"/>
              <w:keepNext/>
              <w:numPr>
                <w:ilvl w:val="0"/>
                <w:numId w:val="28"/>
              </w:numPr>
              <w:tabs>
                <w:tab w:val="clear" w:pos="360"/>
              </w:tabs>
              <w:ind w:left="22" w:firstLine="0"/>
              <w:jc w:val="both"/>
              <w:rPr>
                <w:b/>
                <w:sz w:val="18"/>
                <w:szCs w:val="18"/>
              </w:rPr>
            </w:pPr>
            <w:r w:rsidRPr="00D25701">
              <w:rPr>
                <w:b/>
                <w:sz w:val="18"/>
                <w:szCs w:val="18"/>
              </w:rPr>
              <w:t>Programmas ieviešanas efektivitāte (E)</w:t>
            </w:r>
          </w:p>
        </w:tc>
        <w:tc>
          <w:tcPr>
            <w:tcW w:w="1216" w:type="dxa"/>
            <w:tcBorders>
              <w:top w:val="single" w:sz="4" w:space="0" w:color="auto"/>
              <w:left w:val="single" w:sz="4" w:space="0" w:color="auto"/>
              <w:bottom w:val="single" w:sz="4" w:space="0" w:color="auto"/>
              <w:right w:val="single" w:sz="4" w:space="0" w:color="auto"/>
            </w:tcBorders>
            <w:vAlign w:val="center"/>
          </w:tcPr>
          <w:p w14:paraId="482EA98B" w14:textId="20F1AB5E" w:rsidR="00A73DE7" w:rsidRPr="00D25701" w:rsidRDefault="009634A5" w:rsidP="00C15BBD">
            <w:pPr>
              <w:keepNext/>
              <w:jc w:val="center"/>
              <w:rPr>
                <w:b/>
                <w:sz w:val="18"/>
                <w:szCs w:val="18"/>
              </w:rPr>
            </w:pPr>
            <w:r>
              <w:rPr>
                <w:b/>
                <w:sz w:val="18"/>
                <w:szCs w:val="18"/>
              </w:rPr>
              <w:t>30</w:t>
            </w:r>
          </w:p>
        </w:tc>
        <w:tc>
          <w:tcPr>
            <w:tcW w:w="4996" w:type="dxa"/>
            <w:tcBorders>
              <w:top w:val="single" w:sz="4" w:space="0" w:color="auto"/>
              <w:left w:val="single" w:sz="4" w:space="0" w:color="auto"/>
              <w:bottom w:val="single" w:sz="4" w:space="0" w:color="auto"/>
              <w:right w:val="single" w:sz="4" w:space="0" w:color="auto"/>
            </w:tcBorders>
          </w:tcPr>
          <w:p w14:paraId="412B0BC5" w14:textId="77777777" w:rsidR="00A73DE7" w:rsidRPr="00D25701" w:rsidRDefault="00A73DE7" w:rsidP="00C15BBD">
            <w:pPr>
              <w:keepNext/>
              <w:jc w:val="both"/>
              <w:rPr>
                <w:sz w:val="18"/>
                <w:szCs w:val="18"/>
              </w:rPr>
            </w:pPr>
          </w:p>
        </w:tc>
      </w:tr>
      <w:tr w:rsidR="00A73DE7" w:rsidRPr="00D25701" w14:paraId="722A544E"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2DCDE803" w14:textId="76C9298A" w:rsidR="00A73DE7" w:rsidRPr="00D25701" w:rsidRDefault="00A73DE7" w:rsidP="00A73DE7">
            <w:pPr>
              <w:pStyle w:val="ListParagraph"/>
              <w:numPr>
                <w:ilvl w:val="0"/>
                <w:numId w:val="30"/>
              </w:numPr>
              <w:ind w:left="22" w:firstLine="7"/>
              <w:jc w:val="both"/>
              <w:rPr>
                <w:sz w:val="18"/>
                <w:szCs w:val="18"/>
              </w:rPr>
            </w:pPr>
            <w:r w:rsidRPr="00D25701">
              <w:rPr>
                <w:sz w:val="18"/>
                <w:szCs w:val="18"/>
              </w:rPr>
              <w:t xml:space="preserve">pretendenta plānotā aizdevumu portfeļa maksimālā kompensācija (%) =cap (max </w:t>
            </w:r>
            <w:r>
              <w:rPr>
                <w:sz w:val="18"/>
                <w:szCs w:val="18"/>
              </w:rPr>
              <w:t>17,5</w:t>
            </w:r>
            <w:r w:rsidRPr="00D25701">
              <w:rPr>
                <w:sz w:val="18"/>
                <w:szCs w:val="18"/>
              </w:rPr>
              <w:t>%*)</w:t>
            </w:r>
            <w:r w:rsidR="0042642A">
              <w:rPr>
                <w:sz w:val="18"/>
                <w:szCs w:val="18"/>
              </w:rPr>
              <w:t xml:space="preserve"> </w:t>
            </w:r>
            <w:r w:rsidRPr="00D25701">
              <w:rPr>
                <w:sz w:val="18"/>
                <w:szCs w:val="18"/>
              </w:rPr>
              <w:t xml:space="preserve">reizinājums ar garantijas likmi (max </w:t>
            </w:r>
            <w:r>
              <w:rPr>
                <w:sz w:val="18"/>
                <w:szCs w:val="18"/>
              </w:rPr>
              <w:t>80</w:t>
            </w:r>
            <w:r w:rsidRPr="00D25701">
              <w:rPr>
                <w:sz w:val="18"/>
                <w:szCs w:val="18"/>
              </w:rPr>
              <w:t>%*)</w:t>
            </w:r>
            <w:r w:rsidRPr="00D25701">
              <w:rPr>
                <w:rStyle w:val="FootnoteReference"/>
                <w:sz w:val="18"/>
                <w:szCs w:val="18"/>
              </w:rPr>
              <w:footnoteReference w:id="9"/>
            </w:r>
            <w:r w:rsidRPr="00D25701">
              <w:rPr>
                <w:sz w:val="18"/>
                <w:szCs w:val="18"/>
              </w:rPr>
              <w:t xml:space="preserve"> (E)</w:t>
            </w:r>
          </w:p>
        </w:tc>
        <w:tc>
          <w:tcPr>
            <w:tcW w:w="1216" w:type="dxa"/>
            <w:tcBorders>
              <w:top w:val="single" w:sz="4" w:space="0" w:color="auto"/>
              <w:left w:val="single" w:sz="4" w:space="0" w:color="auto"/>
              <w:bottom w:val="single" w:sz="4" w:space="0" w:color="auto"/>
              <w:right w:val="single" w:sz="4" w:space="0" w:color="auto"/>
            </w:tcBorders>
            <w:vAlign w:val="center"/>
          </w:tcPr>
          <w:p w14:paraId="4F4A7456" w14:textId="77777777" w:rsidR="00A73DE7" w:rsidRPr="00D25701" w:rsidRDefault="00A73DE7" w:rsidP="00C15BBD">
            <w:pPr>
              <w:keepNext/>
              <w:jc w:val="center"/>
              <w:rPr>
                <w:sz w:val="18"/>
                <w:szCs w:val="18"/>
              </w:rPr>
            </w:pPr>
            <w:r w:rsidRPr="00D25701">
              <w:rPr>
                <w:sz w:val="18"/>
                <w:szCs w:val="18"/>
              </w:rPr>
              <w:t>30</w:t>
            </w:r>
          </w:p>
          <w:p w14:paraId="765DD863" w14:textId="77777777" w:rsidR="00A73DE7" w:rsidRPr="00D25701" w:rsidRDefault="00A73DE7" w:rsidP="00C15BBD">
            <w:pPr>
              <w:keepNext/>
              <w:jc w:val="center"/>
              <w:rPr>
                <w:sz w:val="18"/>
                <w:szCs w:val="18"/>
              </w:rPr>
            </w:pPr>
          </w:p>
        </w:tc>
        <w:tc>
          <w:tcPr>
            <w:tcW w:w="4996" w:type="dxa"/>
            <w:tcBorders>
              <w:top w:val="single" w:sz="4" w:space="0" w:color="auto"/>
              <w:left w:val="single" w:sz="4" w:space="0" w:color="auto"/>
              <w:bottom w:val="single" w:sz="4" w:space="0" w:color="auto"/>
              <w:right w:val="single" w:sz="4" w:space="0" w:color="auto"/>
            </w:tcBorders>
          </w:tcPr>
          <w:p w14:paraId="0943434E" w14:textId="77777777" w:rsidR="00A73DE7" w:rsidRPr="00D25701" w:rsidRDefault="00A73DE7" w:rsidP="00C15BBD">
            <w:pPr>
              <w:autoSpaceDE w:val="0"/>
              <w:autoSpaceDN w:val="0"/>
              <w:adjustRightInd w:val="0"/>
              <w:rPr>
                <w:sz w:val="18"/>
                <w:szCs w:val="18"/>
              </w:rPr>
            </w:pPr>
            <w:r w:rsidRPr="00D25701">
              <w:rPr>
                <w:sz w:val="18"/>
                <w:szCs w:val="18"/>
              </w:rPr>
              <w:t>Pretendenta iegūtos punktus apakškritērijā nosaka šādi:</w:t>
            </w:r>
          </w:p>
          <w:p w14:paraId="7479CC31" w14:textId="0AABC787" w:rsidR="00A73DE7" w:rsidRPr="00D25701" w:rsidRDefault="00A73DE7" w:rsidP="00C15BBD">
            <w:pPr>
              <w:autoSpaceDE w:val="0"/>
              <w:autoSpaceDN w:val="0"/>
              <w:adjustRightInd w:val="0"/>
              <w:rPr>
                <w:sz w:val="18"/>
                <w:szCs w:val="18"/>
              </w:rPr>
            </w:pPr>
            <w:r w:rsidRPr="00D25701">
              <w:rPr>
                <w:sz w:val="18"/>
                <w:szCs w:val="18"/>
              </w:rPr>
              <w:t>E = Emin / Ex *X, kur:</w:t>
            </w:r>
          </w:p>
          <w:p w14:paraId="7F9B713A" w14:textId="661B18CB" w:rsidR="00A73DE7" w:rsidRPr="00D25701" w:rsidRDefault="00A73DE7" w:rsidP="00C15BBD">
            <w:pPr>
              <w:autoSpaceDE w:val="0"/>
              <w:autoSpaceDN w:val="0"/>
              <w:adjustRightInd w:val="0"/>
              <w:rPr>
                <w:sz w:val="18"/>
                <w:szCs w:val="18"/>
              </w:rPr>
            </w:pPr>
            <w:r w:rsidRPr="00D25701">
              <w:rPr>
                <w:sz w:val="18"/>
                <w:szCs w:val="18"/>
              </w:rPr>
              <w:t>E- apakškritērijā iegūtais punktu skaits,</w:t>
            </w:r>
          </w:p>
          <w:p w14:paraId="0953C0F9" w14:textId="77777777" w:rsidR="00A73DE7" w:rsidRPr="00D25701" w:rsidRDefault="00A73DE7" w:rsidP="00C15BBD">
            <w:pPr>
              <w:autoSpaceDE w:val="0"/>
              <w:autoSpaceDN w:val="0"/>
              <w:adjustRightInd w:val="0"/>
              <w:rPr>
                <w:sz w:val="18"/>
                <w:szCs w:val="18"/>
              </w:rPr>
            </w:pPr>
            <w:r w:rsidRPr="00D25701">
              <w:rPr>
                <w:sz w:val="18"/>
                <w:szCs w:val="18"/>
              </w:rPr>
              <w:t>Emin – mazākā piedāvātā portfeļa maksimālā kompensācija;</w:t>
            </w:r>
          </w:p>
          <w:p w14:paraId="6D1ED085" w14:textId="7AA8B514" w:rsidR="00A73DE7" w:rsidRDefault="00A73DE7" w:rsidP="00C15BBD">
            <w:pPr>
              <w:autoSpaceDE w:val="0"/>
              <w:autoSpaceDN w:val="0"/>
              <w:adjustRightInd w:val="0"/>
              <w:rPr>
                <w:sz w:val="18"/>
                <w:szCs w:val="18"/>
              </w:rPr>
            </w:pPr>
            <w:r w:rsidRPr="00D25701">
              <w:rPr>
                <w:sz w:val="18"/>
                <w:szCs w:val="18"/>
              </w:rPr>
              <w:t>Ex – pretendenta piedāvātā portfeļa maksimālā kompensācija;</w:t>
            </w:r>
          </w:p>
          <w:p w14:paraId="523263C5" w14:textId="77777777" w:rsidR="00A73DE7" w:rsidRPr="00D25701" w:rsidRDefault="00A73DE7" w:rsidP="00C15BBD">
            <w:pPr>
              <w:autoSpaceDE w:val="0"/>
              <w:autoSpaceDN w:val="0"/>
              <w:adjustRightInd w:val="0"/>
              <w:rPr>
                <w:sz w:val="18"/>
                <w:szCs w:val="18"/>
              </w:rPr>
            </w:pPr>
            <w:r w:rsidRPr="00D25701">
              <w:rPr>
                <w:sz w:val="18"/>
                <w:szCs w:val="18"/>
              </w:rPr>
              <w:t>X-maksimālais punktu skaits apakškritērijā.</w:t>
            </w:r>
          </w:p>
        </w:tc>
      </w:tr>
      <w:tr w:rsidR="00A73DE7" w:rsidRPr="00D25701" w14:paraId="419DF70E"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5CF12913" w14:textId="77777777" w:rsidR="00A73DE7" w:rsidRPr="00D25701" w:rsidRDefault="00A73DE7" w:rsidP="00A73DE7">
            <w:pPr>
              <w:pStyle w:val="ListParagraph"/>
              <w:keepNext/>
              <w:numPr>
                <w:ilvl w:val="0"/>
                <w:numId w:val="28"/>
              </w:numPr>
              <w:tabs>
                <w:tab w:val="clear" w:pos="360"/>
              </w:tabs>
              <w:ind w:left="22" w:firstLine="0"/>
              <w:jc w:val="both"/>
              <w:rPr>
                <w:b/>
                <w:sz w:val="18"/>
                <w:szCs w:val="18"/>
              </w:rPr>
            </w:pPr>
            <w:r w:rsidRPr="00D25701">
              <w:rPr>
                <w:b/>
                <w:sz w:val="18"/>
                <w:szCs w:val="18"/>
              </w:rPr>
              <w:t>Vēsturiskais portfelis sadarbībā ar Altum (K)</w:t>
            </w:r>
          </w:p>
        </w:tc>
        <w:tc>
          <w:tcPr>
            <w:tcW w:w="1216" w:type="dxa"/>
            <w:tcBorders>
              <w:top w:val="single" w:sz="4" w:space="0" w:color="auto"/>
              <w:left w:val="single" w:sz="4" w:space="0" w:color="auto"/>
              <w:bottom w:val="single" w:sz="4" w:space="0" w:color="auto"/>
              <w:right w:val="single" w:sz="4" w:space="0" w:color="auto"/>
            </w:tcBorders>
            <w:vAlign w:val="center"/>
          </w:tcPr>
          <w:p w14:paraId="2AC197BE" w14:textId="77777777" w:rsidR="00A73DE7" w:rsidRPr="00D25701" w:rsidRDefault="00A73DE7" w:rsidP="00C15BBD">
            <w:pPr>
              <w:keepNext/>
              <w:jc w:val="center"/>
              <w:rPr>
                <w:b/>
                <w:sz w:val="18"/>
                <w:szCs w:val="18"/>
              </w:rPr>
            </w:pPr>
            <w:r w:rsidRPr="00D25701">
              <w:rPr>
                <w:b/>
                <w:sz w:val="18"/>
                <w:szCs w:val="18"/>
              </w:rPr>
              <w:t>10</w:t>
            </w:r>
          </w:p>
        </w:tc>
        <w:tc>
          <w:tcPr>
            <w:tcW w:w="4996" w:type="dxa"/>
            <w:tcBorders>
              <w:top w:val="single" w:sz="4" w:space="0" w:color="auto"/>
              <w:left w:val="single" w:sz="4" w:space="0" w:color="auto"/>
              <w:bottom w:val="single" w:sz="4" w:space="0" w:color="auto"/>
              <w:right w:val="single" w:sz="4" w:space="0" w:color="auto"/>
            </w:tcBorders>
          </w:tcPr>
          <w:p w14:paraId="5FE725B2" w14:textId="77777777" w:rsidR="00A73DE7" w:rsidRPr="00D25701" w:rsidRDefault="00A73DE7" w:rsidP="00C15BBD">
            <w:pPr>
              <w:keepNext/>
              <w:jc w:val="both"/>
              <w:rPr>
                <w:sz w:val="18"/>
                <w:szCs w:val="18"/>
              </w:rPr>
            </w:pPr>
          </w:p>
        </w:tc>
      </w:tr>
      <w:tr w:rsidR="00A73DE7" w:rsidRPr="00D25701" w14:paraId="2417C473"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641BA24F" w14:textId="77777777" w:rsidR="00A73DE7" w:rsidRPr="00D25701" w:rsidRDefault="00A73DE7" w:rsidP="00A73DE7">
            <w:pPr>
              <w:pStyle w:val="ListParagraph"/>
              <w:numPr>
                <w:ilvl w:val="0"/>
                <w:numId w:val="30"/>
              </w:numPr>
              <w:ind w:left="22" w:firstLine="0"/>
              <w:jc w:val="both"/>
              <w:rPr>
                <w:sz w:val="18"/>
                <w:szCs w:val="18"/>
              </w:rPr>
            </w:pPr>
            <w:r w:rsidRPr="00D25701">
              <w:rPr>
                <w:sz w:val="18"/>
                <w:szCs w:val="18"/>
              </w:rPr>
              <w:t>pretendenta kopējais Altum garantēto finanšu pakalpojumu apjoms saimnieciskās darbības veicējiem 201</w:t>
            </w:r>
            <w:r>
              <w:rPr>
                <w:sz w:val="18"/>
                <w:szCs w:val="18"/>
              </w:rPr>
              <w:t>9</w:t>
            </w:r>
            <w:r w:rsidRPr="00D25701">
              <w:rPr>
                <w:sz w:val="18"/>
                <w:szCs w:val="18"/>
              </w:rPr>
              <w:t>.-20</w:t>
            </w:r>
            <w:r>
              <w:rPr>
                <w:sz w:val="18"/>
                <w:szCs w:val="18"/>
              </w:rPr>
              <w:t>21</w:t>
            </w:r>
            <w:r w:rsidRPr="00D25701">
              <w:rPr>
                <w:sz w:val="18"/>
                <w:szCs w:val="18"/>
              </w:rPr>
              <w:t>.gadā (EUR) (K1).</w:t>
            </w:r>
          </w:p>
        </w:tc>
        <w:tc>
          <w:tcPr>
            <w:tcW w:w="1216" w:type="dxa"/>
            <w:tcBorders>
              <w:top w:val="single" w:sz="4" w:space="0" w:color="auto"/>
              <w:left w:val="single" w:sz="4" w:space="0" w:color="auto"/>
              <w:bottom w:val="single" w:sz="4" w:space="0" w:color="auto"/>
              <w:right w:val="single" w:sz="4" w:space="0" w:color="auto"/>
            </w:tcBorders>
            <w:vAlign w:val="center"/>
          </w:tcPr>
          <w:p w14:paraId="132EA2D1" w14:textId="77777777" w:rsidR="00A73DE7" w:rsidRPr="00D25701" w:rsidRDefault="00A73DE7" w:rsidP="00C15BBD">
            <w:pPr>
              <w:keepNext/>
              <w:jc w:val="center"/>
              <w:rPr>
                <w:sz w:val="18"/>
                <w:szCs w:val="18"/>
              </w:rPr>
            </w:pPr>
            <w:r w:rsidRPr="00D25701">
              <w:rPr>
                <w:sz w:val="18"/>
                <w:szCs w:val="18"/>
              </w:rPr>
              <w:t>5</w:t>
            </w:r>
          </w:p>
        </w:tc>
        <w:tc>
          <w:tcPr>
            <w:tcW w:w="4996" w:type="dxa"/>
            <w:tcBorders>
              <w:top w:val="single" w:sz="4" w:space="0" w:color="auto"/>
              <w:left w:val="single" w:sz="4" w:space="0" w:color="auto"/>
              <w:bottom w:val="single" w:sz="4" w:space="0" w:color="auto"/>
              <w:right w:val="single" w:sz="4" w:space="0" w:color="auto"/>
            </w:tcBorders>
          </w:tcPr>
          <w:p w14:paraId="7F28F7E6" w14:textId="77777777" w:rsidR="00A73DE7" w:rsidRPr="00D25701" w:rsidRDefault="00A73DE7" w:rsidP="00C15BBD">
            <w:pPr>
              <w:autoSpaceDE w:val="0"/>
              <w:autoSpaceDN w:val="0"/>
              <w:adjustRightInd w:val="0"/>
              <w:rPr>
                <w:sz w:val="18"/>
                <w:szCs w:val="18"/>
              </w:rPr>
            </w:pPr>
            <w:r w:rsidRPr="00D25701">
              <w:rPr>
                <w:sz w:val="18"/>
                <w:szCs w:val="18"/>
              </w:rPr>
              <w:t>Pretendenta iegūtos punktus apakškritērijā nosaka šādi:</w:t>
            </w:r>
          </w:p>
          <w:p w14:paraId="61BB39CC" w14:textId="77777777" w:rsidR="00A73DE7" w:rsidRPr="00D25701" w:rsidRDefault="00A73DE7" w:rsidP="00C15BBD">
            <w:pPr>
              <w:autoSpaceDE w:val="0"/>
              <w:autoSpaceDN w:val="0"/>
              <w:adjustRightInd w:val="0"/>
              <w:rPr>
                <w:sz w:val="18"/>
                <w:szCs w:val="18"/>
              </w:rPr>
            </w:pPr>
            <w:r w:rsidRPr="00D25701">
              <w:rPr>
                <w:sz w:val="18"/>
                <w:szCs w:val="18"/>
              </w:rPr>
              <w:t>K1 = Kx / Kmax *X, kur:</w:t>
            </w:r>
          </w:p>
          <w:p w14:paraId="66A54211" w14:textId="77777777" w:rsidR="00A73DE7" w:rsidRPr="00D25701" w:rsidRDefault="00A73DE7" w:rsidP="00C15BBD">
            <w:pPr>
              <w:autoSpaceDE w:val="0"/>
              <w:autoSpaceDN w:val="0"/>
              <w:adjustRightInd w:val="0"/>
              <w:rPr>
                <w:sz w:val="18"/>
                <w:szCs w:val="18"/>
              </w:rPr>
            </w:pPr>
            <w:r w:rsidRPr="00D25701">
              <w:rPr>
                <w:sz w:val="18"/>
                <w:szCs w:val="18"/>
              </w:rPr>
              <w:t>K1 - apakškritērijā iegūtais punktu skaits,</w:t>
            </w:r>
          </w:p>
          <w:p w14:paraId="6CE462C9" w14:textId="77777777" w:rsidR="00A73DE7" w:rsidRPr="00D25701" w:rsidRDefault="00A73DE7" w:rsidP="00C15BBD">
            <w:pPr>
              <w:autoSpaceDE w:val="0"/>
              <w:autoSpaceDN w:val="0"/>
              <w:adjustRightInd w:val="0"/>
              <w:rPr>
                <w:sz w:val="18"/>
                <w:szCs w:val="18"/>
              </w:rPr>
            </w:pPr>
            <w:r w:rsidRPr="00D25701">
              <w:rPr>
                <w:sz w:val="18"/>
                <w:szCs w:val="18"/>
              </w:rPr>
              <w:t>Kx – pretendenta kopējais Altum garantēto finanšu pakalpojumu apjoms 20</w:t>
            </w:r>
            <w:r>
              <w:rPr>
                <w:sz w:val="18"/>
                <w:szCs w:val="18"/>
              </w:rPr>
              <w:t>19</w:t>
            </w:r>
            <w:r w:rsidRPr="00D25701">
              <w:rPr>
                <w:sz w:val="18"/>
                <w:szCs w:val="18"/>
              </w:rPr>
              <w:t>.-20</w:t>
            </w:r>
            <w:r>
              <w:rPr>
                <w:sz w:val="18"/>
                <w:szCs w:val="18"/>
              </w:rPr>
              <w:t>21</w:t>
            </w:r>
            <w:r w:rsidRPr="00D25701">
              <w:rPr>
                <w:sz w:val="18"/>
                <w:szCs w:val="18"/>
              </w:rPr>
              <w:t>.gadā,</w:t>
            </w:r>
          </w:p>
          <w:p w14:paraId="10AEA658" w14:textId="77777777" w:rsidR="00A73DE7" w:rsidRPr="00D25701" w:rsidRDefault="00A73DE7" w:rsidP="00C15BBD">
            <w:pPr>
              <w:autoSpaceDE w:val="0"/>
              <w:autoSpaceDN w:val="0"/>
              <w:adjustRightInd w:val="0"/>
              <w:rPr>
                <w:sz w:val="18"/>
                <w:szCs w:val="18"/>
              </w:rPr>
            </w:pPr>
            <w:r w:rsidRPr="00D25701">
              <w:rPr>
                <w:sz w:val="18"/>
                <w:szCs w:val="18"/>
              </w:rPr>
              <w:t>Kmax – lielākais pretendentu vēsturiskais Altum garantēto finanšu pakalpojumu portfelis,</w:t>
            </w:r>
          </w:p>
          <w:p w14:paraId="1730320C" w14:textId="77777777" w:rsidR="00A73DE7" w:rsidRPr="00D25701" w:rsidRDefault="00A73DE7" w:rsidP="00C15BBD">
            <w:pPr>
              <w:keepNext/>
              <w:jc w:val="both"/>
              <w:rPr>
                <w:sz w:val="18"/>
                <w:szCs w:val="18"/>
              </w:rPr>
            </w:pPr>
            <w:r w:rsidRPr="00D25701">
              <w:rPr>
                <w:sz w:val="18"/>
                <w:szCs w:val="18"/>
              </w:rPr>
              <w:t>X-maksimālais punktu skaits apakškritērijā.</w:t>
            </w:r>
          </w:p>
          <w:p w14:paraId="2EFCB30D" w14:textId="77777777" w:rsidR="00A73DE7" w:rsidRPr="00D25701" w:rsidRDefault="00A73DE7" w:rsidP="00C15BBD">
            <w:pPr>
              <w:keepNext/>
              <w:jc w:val="both"/>
              <w:rPr>
                <w:sz w:val="18"/>
                <w:szCs w:val="18"/>
              </w:rPr>
            </w:pPr>
          </w:p>
          <w:p w14:paraId="2F6DD882" w14:textId="77777777" w:rsidR="00A73DE7" w:rsidRPr="00D25701" w:rsidRDefault="00A73DE7" w:rsidP="00C15BBD">
            <w:pPr>
              <w:keepNext/>
              <w:jc w:val="both"/>
              <w:rPr>
                <w:sz w:val="18"/>
                <w:szCs w:val="18"/>
              </w:rPr>
            </w:pPr>
            <w:r w:rsidRPr="00D25701">
              <w:rPr>
                <w:sz w:val="18"/>
                <w:szCs w:val="18"/>
              </w:rPr>
              <w:t>Ja Pretendents iesniedz pieteikumu kā personu apvienība, kritērijā izmanto personu apvienības kopējo apjomu.</w:t>
            </w:r>
          </w:p>
        </w:tc>
      </w:tr>
      <w:tr w:rsidR="00A73DE7" w:rsidRPr="00D25701" w14:paraId="71A37C98"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3ED845B8" w14:textId="5A4A7DCE" w:rsidR="00A73DE7" w:rsidRPr="00D25701" w:rsidRDefault="00A73DE7" w:rsidP="00A73DE7">
            <w:pPr>
              <w:pStyle w:val="ListParagraph"/>
              <w:numPr>
                <w:ilvl w:val="0"/>
                <w:numId w:val="30"/>
              </w:numPr>
              <w:ind w:left="22" w:firstLine="0"/>
              <w:jc w:val="both"/>
              <w:rPr>
                <w:sz w:val="18"/>
                <w:szCs w:val="18"/>
              </w:rPr>
            </w:pPr>
            <w:r w:rsidRPr="00D25701">
              <w:rPr>
                <w:sz w:val="18"/>
                <w:szCs w:val="18"/>
              </w:rPr>
              <w:t>pretendenta kopējais Altum garantēto finanšu pakalpojumu skaits saimnieciskās darbības veicējiem</w:t>
            </w:r>
            <w:r w:rsidR="00D1057A">
              <w:rPr>
                <w:sz w:val="18"/>
                <w:szCs w:val="18"/>
              </w:rPr>
              <w:t xml:space="preserve"> (individuālās garantijas, portfeļgarantijas, DME garantijas)</w:t>
            </w:r>
            <w:r w:rsidRPr="00D25701">
              <w:rPr>
                <w:sz w:val="18"/>
                <w:szCs w:val="18"/>
              </w:rPr>
              <w:t xml:space="preserve"> 201</w:t>
            </w:r>
            <w:r>
              <w:rPr>
                <w:sz w:val="18"/>
                <w:szCs w:val="18"/>
              </w:rPr>
              <w:t>9</w:t>
            </w:r>
            <w:r w:rsidRPr="00D25701">
              <w:rPr>
                <w:sz w:val="18"/>
                <w:szCs w:val="18"/>
              </w:rPr>
              <w:t>.-20</w:t>
            </w:r>
            <w:r>
              <w:rPr>
                <w:sz w:val="18"/>
                <w:szCs w:val="18"/>
              </w:rPr>
              <w:t>21</w:t>
            </w:r>
            <w:r w:rsidRPr="00D25701">
              <w:rPr>
                <w:sz w:val="18"/>
                <w:szCs w:val="18"/>
              </w:rPr>
              <w:t xml:space="preserve">.gadā (K2). </w:t>
            </w:r>
          </w:p>
        </w:tc>
        <w:tc>
          <w:tcPr>
            <w:tcW w:w="1216" w:type="dxa"/>
            <w:tcBorders>
              <w:top w:val="single" w:sz="4" w:space="0" w:color="auto"/>
              <w:left w:val="single" w:sz="4" w:space="0" w:color="auto"/>
              <w:bottom w:val="single" w:sz="4" w:space="0" w:color="auto"/>
              <w:right w:val="single" w:sz="4" w:space="0" w:color="auto"/>
            </w:tcBorders>
            <w:vAlign w:val="center"/>
          </w:tcPr>
          <w:p w14:paraId="09F78ACD" w14:textId="77777777" w:rsidR="00A73DE7" w:rsidRPr="00D25701" w:rsidRDefault="00A73DE7" w:rsidP="00C15BBD">
            <w:pPr>
              <w:keepNext/>
              <w:jc w:val="center"/>
              <w:rPr>
                <w:sz w:val="18"/>
                <w:szCs w:val="18"/>
              </w:rPr>
            </w:pPr>
            <w:r w:rsidRPr="00D25701">
              <w:rPr>
                <w:sz w:val="18"/>
                <w:szCs w:val="18"/>
              </w:rPr>
              <w:t>5</w:t>
            </w:r>
          </w:p>
        </w:tc>
        <w:tc>
          <w:tcPr>
            <w:tcW w:w="4996" w:type="dxa"/>
            <w:tcBorders>
              <w:top w:val="single" w:sz="4" w:space="0" w:color="auto"/>
              <w:left w:val="single" w:sz="4" w:space="0" w:color="auto"/>
              <w:bottom w:val="single" w:sz="4" w:space="0" w:color="auto"/>
              <w:right w:val="single" w:sz="4" w:space="0" w:color="auto"/>
            </w:tcBorders>
          </w:tcPr>
          <w:p w14:paraId="78947D9C" w14:textId="77777777" w:rsidR="00A73DE7" w:rsidRPr="00D25701" w:rsidRDefault="00A73DE7" w:rsidP="00C15BBD">
            <w:pPr>
              <w:autoSpaceDE w:val="0"/>
              <w:autoSpaceDN w:val="0"/>
              <w:adjustRightInd w:val="0"/>
              <w:rPr>
                <w:sz w:val="18"/>
                <w:szCs w:val="18"/>
              </w:rPr>
            </w:pPr>
            <w:r w:rsidRPr="00D25701">
              <w:rPr>
                <w:sz w:val="18"/>
                <w:szCs w:val="18"/>
              </w:rPr>
              <w:t>Pretendenta iegūtos punktus apakškritērijā nosaka šādi:</w:t>
            </w:r>
          </w:p>
          <w:p w14:paraId="73A3D124" w14:textId="77777777" w:rsidR="00A73DE7" w:rsidRPr="00D25701" w:rsidRDefault="00A73DE7" w:rsidP="00C15BBD">
            <w:pPr>
              <w:autoSpaceDE w:val="0"/>
              <w:autoSpaceDN w:val="0"/>
              <w:adjustRightInd w:val="0"/>
              <w:rPr>
                <w:sz w:val="18"/>
                <w:szCs w:val="18"/>
              </w:rPr>
            </w:pPr>
            <w:r w:rsidRPr="00D25701">
              <w:rPr>
                <w:sz w:val="18"/>
                <w:szCs w:val="18"/>
              </w:rPr>
              <w:t>K2 = Kx / Kmax *X, kur:</w:t>
            </w:r>
          </w:p>
          <w:p w14:paraId="6E9B3B80" w14:textId="77777777" w:rsidR="00A73DE7" w:rsidRPr="00D25701" w:rsidRDefault="00A73DE7" w:rsidP="00C15BBD">
            <w:pPr>
              <w:autoSpaceDE w:val="0"/>
              <w:autoSpaceDN w:val="0"/>
              <w:adjustRightInd w:val="0"/>
              <w:rPr>
                <w:sz w:val="18"/>
                <w:szCs w:val="18"/>
              </w:rPr>
            </w:pPr>
            <w:r w:rsidRPr="00D25701">
              <w:rPr>
                <w:sz w:val="18"/>
                <w:szCs w:val="18"/>
              </w:rPr>
              <w:t>K2 - apakškritērijā iegūtais punktu skaits,</w:t>
            </w:r>
          </w:p>
          <w:p w14:paraId="54468D38" w14:textId="77777777" w:rsidR="00A73DE7" w:rsidRPr="00D25701" w:rsidRDefault="00A73DE7" w:rsidP="00C15BBD">
            <w:pPr>
              <w:autoSpaceDE w:val="0"/>
              <w:autoSpaceDN w:val="0"/>
              <w:adjustRightInd w:val="0"/>
              <w:rPr>
                <w:sz w:val="18"/>
                <w:szCs w:val="18"/>
              </w:rPr>
            </w:pPr>
            <w:r w:rsidRPr="00D25701">
              <w:rPr>
                <w:sz w:val="18"/>
                <w:szCs w:val="18"/>
              </w:rPr>
              <w:t>Kx – pretendenta kopējais Altum garantēto finanšu pakalpojumu skaits;</w:t>
            </w:r>
          </w:p>
          <w:p w14:paraId="31A47097" w14:textId="77777777" w:rsidR="00A73DE7" w:rsidRPr="00D25701" w:rsidRDefault="00A73DE7" w:rsidP="00C15BBD">
            <w:pPr>
              <w:autoSpaceDE w:val="0"/>
              <w:autoSpaceDN w:val="0"/>
              <w:adjustRightInd w:val="0"/>
              <w:rPr>
                <w:sz w:val="18"/>
                <w:szCs w:val="18"/>
              </w:rPr>
            </w:pPr>
            <w:r w:rsidRPr="00D25701">
              <w:rPr>
                <w:sz w:val="18"/>
                <w:szCs w:val="18"/>
              </w:rPr>
              <w:t>Kmax – lielākais pretendentu vēsturiskais Altum garantēto finanšu pakalpojumu skaits;</w:t>
            </w:r>
          </w:p>
          <w:p w14:paraId="0C802321" w14:textId="77777777" w:rsidR="00A73DE7" w:rsidRPr="00D25701" w:rsidRDefault="00A73DE7" w:rsidP="00C15BBD">
            <w:pPr>
              <w:autoSpaceDE w:val="0"/>
              <w:autoSpaceDN w:val="0"/>
              <w:adjustRightInd w:val="0"/>
              <w:rPr>
                <w:sz w:val="18"/>
                <w:szCs w:val="18"/>
              </w:rPr>
            </w:pPr>
            <w:r w:rsidRPr="00D25701">
              <w:rPr>
                <w:sz w:val="18"/>
                <w:szCs w:val="18"/>
              </w:rPr>
              <w:t>X-maksimālais punktu skaits apakškritērijā.</w:t>
            </w:r>
          </w:p>
          <w:p w14:paraId="2AD06D66" w14:textId="77777777" w:rsidR="00A73DE7" w:rsidRPr="00D25701" w:rsidRDefault="00A73DE7" w:rsidP="00C15BBD">
            <w:pPr>
              <w:autoSpaceDE w:val="0"/>
              <w:autoSpaceDN w:val="0"/>
              <w:adjustRightInd w:val="0"/>
              <w:rPr>
                <w:sz w:val="18"/>
                <w:szCs w:val="18"/>
              </w:rPr>
            </w:pPr>
          </w:p>
          <w:p w14:paraId="1901B5AD" w14:textId="77777777" w:rsidR="00A73DE7" w:rsidRPr="00D25701" w:rsidRDefault="00A73DE7" w:rsidP="00C15BBD">
            <w:pPr>
              <w:keepNext/>
              <w:jc w:val="both"/>
              <w:rPr>
                <w:sz w:val="18"/>
                <w:szCs w:val="18"/>
              </w:rPr>
            </w:pPr>
            <w:r w:rsidRPr="00D25701">
              <w:rPr>
                <w:sz w:val="18"/>
                <w:szCs w:val="18"/>
              </w:rPr>
              <w:t xml:space="preserve">Ja Pretendents iesniedz pieteikumu kā personas apvienība, kritērijā izmanto personu apvienības kopējo izsniegto garantiju skaitu. </w:t>
            </w:r>
          </w:p>
        </w:tc>
      </w:tr>
      <w:tr w:rsidR="00A73DE7" w:rsidRPr="00D25701" w14:paraId="07FE368F"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27EFCFC0" w14:textId="77777777" w:rsidR="00A73DE7" w:rsidRPr="003227CD" w:rsidRDefault="00A73DE7" w:rsidP="005639F3">
            <w:pPr>
              <w:pStyle w:val="ListParagraph"/>
              <w:ind w:left="22"/>
              <w:jc w:val="both"/>
              <w:rPr>
                <w:b/>
                <w:bCs/>
                <w:sz w:val="18"/>
                <w:szCs w:val="18"/>
              </w:rPr>
            </w:pPr>
            <w:r w:rsidRPr="003227CD">
              <w:rPr>
                <w:b/>
                <w:bCs/>
                <w:sz w:val="18"/>
                <w:szCs w:val="18"/>
              </w:rPr>
              <w:t xml:space="preserve">4. Pretendenta </w:t>
            </w:r>
            <w:r>
              <w:rPr>
                <w:b/>
                <w:bCs/>
                <w:sz w:val="18"/>
                <w:szCs w:val="18"/>
              </w:rPr>
              <w:t>vēsturiskā darbība (P)</w:t>
            </w:r>
          </w:p>
        </w:tc>
        <w:tc>
          <w:tcPr>
            <w:tcW w:w="1216" w:type="dxa"/>
            <w:tcBorders>
              <w:top w:val="single" w:sz="4" w:space="0" w:color="auto"/>
              <w:left w:val="single" w:sz="4" w:space="0" w:color="auto"/>
              <w:bottom w:val="single" w:sz="4" w:space="0" w:color="auto"/>
              <w:right w:val="single" w:sz="4" w:space="0" w:color="auto"/>
            </w:tcBorders>
            <w:vAlign w:val="center"/>
          </w:tcPr>
          <w:p w14:paraId="3601CE65" w14:textId="77777777" w:rsidR="00A73DE7" w:rsidRPr="006C153C" w:rsidRDefault="00A73DE7" w:rsidP="00C15BBD">
            <w:pPr>
              <w:keepNext/>
              <w:jc w:val="center"/>
              <w:rPr>
                <w:b/>
                <w:bCs/>
                <w:sz w:val="18"/>
                <w:szCs w:val="18"/>
              </w:rPr>
            </w:pPr>
            <w:r w:rsidRPr="006C153C">
              <w:rPr>
                <w:b/>
                <w:bCs/>
                <w:sz w:val="18"/>
                <w:szCs w:val="18"/>
              </w:rPr>
              <w:t>5</w:t>
            </w:r>
          </w:p>
        </w:tc>
        <w:tc>
          <w:tcPr>
            <w:tcW w:w="4996" w:type="dxa"/>
            <w:tcBorders>
              <w:top w:val="single" w:sz="4" w:space="0" w:color="auto"/>
              <w:left w:val="single" w:sz="4" w:space="0" w:color="auto"/>
              <w:bottom w:val="single" w:sz="4" w:space="0" w:color="auto"/>
              <w:right w:val="single" w:sz="4" w:space="0" w:color="auto"/>
            </w:tcBorders>
          </w:tcPr>
          <w:p w14:paraId="7E57C3C4" w14:textId="77777777" w:rsidR="00A73DE7" w:rsidRPr="00D25701" w:rsidRDefault="00A73DE7" w:rsidP="00C15BBD">
            <w:pPr>
              <w:autoSpaceDE w:val="0"/>
              <w:autoSpaceDN w:val="0"/>
              <w:adjustRightInd w:val="0"/>
              <w:rPr>
                <w:sz w:val="18"/>
                <w:szCs w:val="18"/>
              </w:rPr>
            </w:pPr>
          </w:p>
        </w:tc>
      </w:tr>
      <w:tr w:rsidR="00A73DE7" w:rsidRPr="00D25701" w14:paraId="098ED20F" w14:textId="77777777" w:rsidTr="00C15BBD">
        <w:tc>
          <w:tcPr>
            <w:tcW w:w="2997" w:type="dxa"/>
            <w:tcBorders>
              <w:top w:val="single" w:sz="4" w:space="0" w:color="auto"/>
              <w:left w:val="single" w:sz="4" w:space="0" w:color="auto"/>
              <w:bottom w:val="single" w:sz="4" w:space="0" w:color="auto"/>
              <w:right w:val="single" w:sz="4" w:space="0" w:color="auto"/>
            </w:tcBorders>
            <w:shd w:val="clear" w:color="auto" w:fill="auto"/>
          </w:tcPr>
          <w:p w14:paraId="3E7FC545" w14:textId="1C2F27FF" w:rsidR="00A73DE7" w:rsidRPr="003227CD" w:rsidRDefault="00A73DE7" w:rsidP="00A73DE7">
            <w:pPr>
              <w:pStyle w:val="ListParagraph"/>
              <w:numPr>
                <w:ilvl w:val="0"/>
                <w:numId w:val="30"/>
              </w:numPr>
              <w:ind w:left="22" w:firstLine="0"/>
              <w:jc w:val="both"/>
              <w:rPr>
                <w:sz w:val="18"/>
                <w:szCs w:val="18"/>
              </w:rPr>
            </w:pPr>
            <w:r w:rsidRPr="003227CD">
              <w:rPr>
                <w:sz w:val="18"/>
                <w:szCs w:val="18"/>
              </w:rPr>
              <w:t xml:space="preserve">pretendenta no jauna izsniegto finanšu pakalpojumu  skaits ar darījumu summu līdz </w:t>
            </w:r>
            <w:r w:rsidR="0097672F">
              <w:rPr>
                <w:sz w:val="18"/>
                <w:szCs w:val="18"/>
              </w:rPr>
              <w:t>25</w:t>
            </w:r>
            <w:r w:rsidRPr="003227CD">
              <w:rPr>
                <w:sz w:val="18"/>
                <w:szCs w:val="18"/>
              </w:rPr>
              <w:t>0 000 euro pēdējos divos  finanšu gados Latvijā reģistrētiem komersantiem</w:t>
            </w:r>
            <w:r>
              <w:rPr>
                <w:sz w:val="18"/>
                <w:szCs w:val="18"/>
              </w:rPr>
              <w:t xml:space="preserve"> (P)</w:t>
            </w:r>
          </w:p>
        </w:tc>
        <w:tc>
          <w:tcPr>
            <w:tcW w:w="1216" w:type="dxa"/>
            <w:tcBorders>
              <w:top w:val="single" w:sz="4" w:space="0" w:color="auto"/>
              <w:left w:val="single" w:sz="4" w:space="0" w:color="auto"/>
              <w:bottom w:val="single" w:sz="4" w:space="0" w:color="auto"/>
              <w:right w:val="single" w:sz="4" w:space="0" w:color="auto"/>
            </w:tcBorders>
            <w:vAlign w:val="center"/>
          </w:tcPr>
          <w:p w14:paraId="46BFC02F" w14:textId="77777777" w:rsidR="00A73DE7" w:rsidRPr="00D25701" w:rsidRDefault="00A73DE7" w:rsidP="00C15BBD">
            <w:pPr>
              <w:keepNext/>
              <w:jc w:val="center"/>
              <w:rPr>
                <w:sz w:val="18"/>
                <w:szCs w:val="18"/>
              </w:rPr>
            </w:pPr>
            <w:r>
              <w:rPr>
                <w:sz w:val="18"/>
                <w:szCs w:val="18"/>
              </w:rPr>
              <w:t>5</w:t>
            </w:r>
          </w:p>
        </w:tc>
        <w:tc>
          <w:tcPr>
            <w:tcW w:w="4996" w:type="dxa"/>
            <w:tcBorders>
              <w:top w:val="single" w:sz="4" w:space="0" w:color="auto"/>
              <w:left w:val="single" w:sz="4" w:space="0" w:color="auto"/>
              <w:bottom w:val="single" w:sz="4" w:space="0" w:color="auto"/>
              <w:right w:val="single" w:sz="4" w:space="0" w:color="auto"/>
            </w:tcBorders>
          </w:tcPr>
          <w:p w14:paraId="453C95ED" w14:textId="77777777" w:rsidR="00A73DE7" w:rsidRPr="00D25701" w:rsidRDefault="00A73DE7" w:rsidP="00C15BBD">
            <w:pPr>
              <w:autoSpaceDE w:val="0"/>
              <w:autoSpaceDN w:val="0"/>
              <w:adjustRightInd w:val="0"/>
              <w:rPr>
                <w:sz w:val="18"/>
                <w:szCs w:val="18"/>
              </w:rPr>
            </w:pPr>
            <w:r w:rsidRPr="00D25701">
              <w:rPr>
                <w:sz w:val="18"/>
                <w:szCs w:val="18"/>
              </w:rPr>
              <w:t>Pretendenta iegūtos punktus apakškritērijā nosaka šādi:</w:t>
            </w:r>
          </w:p>
          <w:p w14:paraId="4050908C" w14:textId="77777777" w:rsidR="00A73DE7" w:rsidRPr="00D25701" w:rsidRDefault="00A73DE7" w:rsidP="00C15BBD">
            <w:pPr>
              <w:autoSpaceDE w:val="0"/>
              <w:autoSpaceDN w:val="0"/>
              <w:adjustRightInd w:val="0"/>
              <w:rPr>
                <w:sz w:val="18"/>
                <w:szCs w:val="18"/>
              </w:rPr>
            </w:pPr>
            <w:r>
              <w:rPr>
                <w:sz w:val="18"/>
                <w:szCs w:val="18"/>
              </w:rPr>
              <w:t>P</w:t>
            </w:r>
            <w:r w:rsidRPr="00D25701">
              <w:rPr>
                <w:sz w:val="18"/>
                <w:szCs w:val="18"/>
              </w:rPr>
              <w:t xml:space="preserve"> = </w:t>
            </w:r>
            <w:r>
              <w:rPr>
                <w:sz w:val="18"/>
                <w:szCs w:val="18"/>
              </w:rPr>
              <w:t>P</w:t>
            </w:r>
            <w:r w:rsidRPr="00D25701">
              <w:rPr>
                <w:sz w:val="18"/>
                <w:szCs w:val="18"/>
              </w:rPr>
              <w:t xml:space="preserve">x / </w:t>
            </w:r>
            <w:r>
              <w:rPr>
                <w:sz w:val="18"/>
                <w:szCs w:val="18"/>
              </w:rPr>
              <w:t>P</w:t>
            </w:r>
            <w:r w:rsidRPr="00D25701">
              <w:rPr>
                <w:sz w:val="18"/>
                <w:szCs w:val="18"/>
              </w:rPr>
              <w:t>max *X, kur:</w:t>
            </w:r>
          </w:p>
          <w:p w14:paraId="6DC61077" w14:textId="77777777" w:rsidR="00A73DE7" w:rsidRPr="00D25701" w:rsidRDefault="00A73DE7" w:rsidP="00C15BBD">
            <w:pPr>
              <w:autoSpaceDE w:val="0"/>
              <w:autoSpaceDN w:val="0"/>
              <w:adjustRightInd w:val="0"/>
              <w:rPr>
                <w:sz w:val="18"/>
                <w:szCs w:val="18"/>
              </w:rPr>
            </w:pPr>
            <w:r>
              <w:rPr>
                <w:sz w:val="18"/>
                <w:szCs w:val="18"/>
              </w:rPr>
              <w:t>P</w:t>
            </w:r>
            <w:r w:rsidRPr="00D25701">
              <w:rPr>
                <w:sz w:val="18"/>
                <w:szCs w:val="18"/>
              </w:rPr>
              <w:t xml:space="preserve"> - apakškritērijā iegūtais punktu skaits,</w:t>
            </w:r>
          </w:p>
          <w:p w14:paraId="62729B9E" w14:textId="14B5AA5F" w:rsidR="00A73DE7" w:rsidRDefault="00A73DE7" w:rsidP="00C15BBD">
            <w:pPr>
              <w:autoSpaceDE w:val="0"/>
              <w:autoSpaceDN w:val="0"/>
              <w:adjustRightInd w:val="0"/>
              <w:rPr>
                <w:sz w:val="18"/>
                <w:szCs w:val="18"/>
              </w:rPr>
            </w:pPr>
            <w:r>
              <w:rPr>
                <w:sz w:val="18"/>
                <w:szCs w:val="18"/>
              </w:rPr>
              <w:t>P</w:t>
            </w:r>
            <w:r w:rsidRPr="00D25701">
              <w:rPr>
                <w:sz w:val="18"/>
                <w:szCs w:val="18"/>
              </w:rPr>
              <w:t xml:space="preserve">x – </w:t>
            </w:r>
            <w:r w:rsidRPr="003227CD">
              <w:rPr>
                <w:sz w:val="18"/>
                <w:szCs w:val="18"/>
              </w:rPr>
              <w:t xml:space="preserve">pretendenta no jauna izsniegto finanšu pakalpojumu  skaits ar darījumu summu līdz </w:t>
            </w:r>
            <w:r w:rsidR="0097672F">
              <w:rPr>
                <w:sz w:val="18"/>
                <w:szCs w:val="18"/>
              </w:rPr>
              <w:t>25</w:t>
            </w:r>
            <w:r w:rsidRPr="003227CD">
              <w:rPr>
                <w:sz w:val="18"/>
                <w:szCs w:val="18"/>
              </w:rPr>
              <w:t xml:space="preserve">0 000 euro pēdējos </w:t>
            </w:r>
            <w:r w:rsidR="0097672F">
              <w:rPr>
                <w:sz w:val="18"/>
                <w:szCs w:val="18"/>
              </w:rPr>
              <w:t>trijos</w:t>
            </w:r>
            <w:r w:rsidR="0097672F" w:rsidRPr="003227CD">
              <w:rPr>
                <w:sz w:val="18"/>
                <w:szCs w:val="18"/>
              </w:rPr>
              <w:t xml:space="preserve">  </w:t>
            </w:r>
            <w:r w:rsidRPr="003227CD">
              <w:rPr>
                <w:sz w:val="18"/>
                <w:szCs w:val="18"/>
              </w:rPr>
              <w:t>finanšu gados Latvijā reģistrētiem komersantiem</w:t>
            </w:r>
            <w:r>
              <w:rPr>
                <w:sz w:val="18"/>
                <w:szCs w:val="18"/>
              </w:rPr>
              <w:t xml:space="preserve"> </w:t>
            </w:r>
          </w:p>
          <w:p w14:paraId="61C8D5F0" w14:textId="1495B14A" w:rsidR="00A73DE7" w:rsidRPr="00D25701" w:rsidRDefault="00A73DE7" w:rsidP="00C15BBD">
            <w:pPr>
              <w:autoSpaceDE w:val="0"/>
              <w:autoSpaceDN w:val="0"/>
              <w:adjustRightInd w:val="0"/>
              <w:rPr>
                <w:sz w:val="18"/>
                <w:szCs w:val="18"/>
              </w:rPr>
            </w:pPr>
            <w:r>
              <w:rPr>
                <w:sz w:val="18"/>
                <w:szCs w:val="18"/>
              </w:rPr>
              <w:t>P</w:t>
            </w:r>
            <w:r w:rsidRPr="00D25701">
              <w:rPr>
                <w:sz w:val="18"/>
                <w:szCs w:val="18"/>
              </w:rPr>
              <w:t xml:space="preserve">max – lielākais pretendentu </w:t>
            </w:r>
            <w:r w:rsidRPr="003227CD">
              <w:rPr>
                <w:sz w:val="18"/>
                <w:szCs w:val="18"/>
              </w:rPr>
              <w:t xml:space="preserve">no jauna izsniegto finanšu pakalpojumu  skaits ar darījumu summu līdz </w:t>
            </w:r>
            <w:r w:rsidR="0097672F">
              <w:rPr>
                <w:sz w:val="18"/>
                <w:szCs w:val="18"/>
              </w:rPr>
              <w:t>25</w:t>
            </w:r>
            <w:r w:rsidRPr="003227CD">
              <w:rPr>
                <w:sz w:val="18"/>
                <w:szCs w:val="18"/>
              </w:rPr>
              <w:t>0 000 euro pēdējos divos  finanšu gados Latvijā reģistrētiem komersantiem</w:t>
            </w:r>
            <w:r w:rsidRPr="00D25701">
              <w:rPr>
                <w:sz w:val="18"/>
                <w:szCs w:val="18"/>
              </w:rPr>
              <w:t>;</w:t>
            </w:r>
          </w:p>
          <w:p w14:paraId="70C43459" w14:textId="77777777" w:rsidR="00A73DE7" w:rsidRPr="00D25701" w:rsidRDefault="00A73DE7" w:rsidP="00C15BBD">
            <w:pPr>
              <w:autoSpaceDE w:val="0"/>
              <w:autoSpaceDN w:val="0"/>
              <w:adjustRightInd w:val="0"/>
              <w:rPr>
                <w:sz w:val="18"/>
                <w:szCs w:val="18"/>
              </w:rPr>
            </w:pPr>
            <w:r w:rsidRPr="00D25701">
              <w:rPr>
                <w:sz w:val="18"/>
                <w:szCs w:val="18"/>
              </w:rPr>
              <w:t>X-maksimālais punktu skaits apakškritērijā.</w:t>
            </w:r>
          </w:p>
          <w:p w14:paraId="32192435" w14:textId="77777777" w:rsidR="00A73DE7" w:rsidRPr="00D25701" w:rsidRDefault="00A73DE7" w:rsidP="00C15BBD">
            <w:pPr>
              <w:autoSpaceDE w:val="0"/>
              <w:autoSpaceDN w:val="0"/>
              <w:adjustRightInd w:val="0"/>
              <w:rPr>
                <w:sz w:val="18"/>
                <w:szCs w:val="18"/>
              </w:rPr>
            </w:pPr>
          </w:p>
        </w:tc>
      </w:tr>
    </w:tbl>
    <w:p w14:paraId="471D43E5" w14:textId="77777777" w:rsidR="00A73DE7" w:rsidRDefault="00A73DE7" w:rsidP="00A73DE7">
      <w:pPr>
        <w:rPr>
          <w:b/>
          <w:bCs/>
        </w:rPr>
      </w:pPr>
    </w:p>
    <w:p w14:paraId="48C275BE" w14:textId="77777777" w:rsidR="00A73DE7" w:rsidRDefault="00A73DE7" w:rsidP="00A73DE7">
      <w:pPr>
        <w:ind w:right="-709"/>
      </w:pPr>
      <w:r>
        <w:t>K</w:t>
      </w:r>
      <w:r w:rsidRPr="00D25701">
        <w:t>opējo vērtējumu</w:t>
      </w:r>
      <w:r>
        <w:t xml:space="preserve"> (V)</w:t>
      </w:r>
      <w:r w:rsidRPr="00D25701">
        <w:t xml:space="preserve"> nosaka, summējot vērtējumu katrā apakškritērij</w:t>
      </w:r>
      <w:r>
        <w:t>ā:</w:t>
      </w:r>
    </w:p>
    <w:p w14:paraId="672BD3C9" w14:textId="0A7A665D" w:rsidR="00A73DE7" w:rsidRPr="009B7836" w:rsidRDefault="00A73DE7" w:rsidP="00A73DE7">
      <w:pPr>
        <w:ind w:right="-709"/>
        <w:rPr>
          <w:b/>
          <w:bCs/>
        </w:rPr>
      </w:pPr>
      <w:r>
        <w:t xml:space="preserve"> </w:t>
      </w:r>
      <w:r w:rsidRPr="009B7836">
        <w:rPr>
          <w:b/>
          <w:bCs/>
        </w:rPr>
        <w:t>V= P1+P2+E+K1+K2+ P.</w:t>
      </w:r>
    </w:p>
    <w:p w14:paraId="69D8CBED" w14:textId="77777777" w:rsidR="006D7D15" w:rsidRPr="006D7D15" w:rsidRDefault="006D7D15" w:rsidP="006D7D15">
      <w:pPr>
        <w:pStyle w:val="ListParagraph"/>
        <w:spacing w:after="120"/>
        <w:ind w:left="360"/>
        <w:jc w:val="both"/>
        <w:rPr>
          <w:b/>
          <w:bCs/>
        </w:rPr>
      </w:pPr>
    </w:p>
    <w:sectPr w:rsidR="006D7D15" w:rsidRPr="006D7D15" w:rsidSect="00753158">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CCA1A" w14:textId="77777777" w:rsidR="00DA50CE" w:rsidRDefault="00DA50CE">
      <w:r>
        <w:separator/>
      </w:r>
    </w:p>
  </w:endnote>
  <w:endnote w:type="continuationSeparator" w:id="0">
    <w:p w14:paraId="16EE60E0" w14:textId="77777777" w:rsidR="00DA50CE" w:rsidRDefault="00DA5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RimTimes">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EAD1" w14:textId="77777777" w:rsidR="00DA50CE" w:rsidRDefault="00DA5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31058B3" w14:textId="77777777" w:rsidR="00DA50CE" w:rsidRDefault="00DA50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426992"/>
      <w:docPartObj>
        <w:docPartGallery w:val="Page Numbers (Bottom of Page)"/>
        <w:docPartUnique/>
      </w:docPartObj>
    </w:sdtPr>
    <w:sdtEndPr>
      <w:rPr>
        <w:noProof/>
      </w:rPr>
    </w:sdtEndPr>
    <w:sdtContent>
      <w:p w14:paraId="2C29331E" w14:textId="21822378" w:rsidR="00DA50CE" w:rsidRDefault="00DA50CE">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439AC49D" w14:textId="77777777" w:rsidR="00DA50CE" w:rsidRDefault="00DA50CE" w:rsidP="009B4942">
    <w:pPr>
      <w:pStyle w:val="Footer"/>
      <w:ind w:right="35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B310A" w14:textId="77777777" w:rsidR="004640E2" w:rsidRDefault="004640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752FD" w14:textId="77777777" w:rsidR="00DA50CE" w:rsidRDefault="00DA50CE">
      <w:r>
        <w:separator/>
      </w:r>
    </w:p>
  </w:footnote>
  <w:footnote w:type="continuationSeparator" w:id="0">
    <w:p w14:paraId="3D82DFFF" w14:textId="77777777" w:rsidR="00DA50CE" w:rsidRDefault="00DA50CE">
      <w:r>
        <w:continuationSeparator/>
      </w:r>
    </w:p>
  </w:footnote>
  <w:footnote w:id="1">
    <w:p w14:paraId="187DDB0F" w14:textId="752C2E04" w:rsidR="00522851" w:rsidRDefault="00522851" w:rsidP="002E497D">
      <w:pPr>
        <w:pStyle w:val="FootnoteText"/>
        <w:jc w:val="both"/>
      </w:pPr>
      <w:r>
        <w:t xml:space="preserve">* Ar apzīmēti nosacījumi no MK noteikumiem nr. 537. </w:t>
      </w:r>
    </w:p>
    <w:p w14:paraId="1ADF9580" w14:textId="5BAFE239" w:rsidR="009669AA" w:rsidRDefault="009669AA" w:rsidP="002E497D">
      <w:pPr>
        <w:pStyle w:val="FootnoteText"/>
        <w:jc w:val="both"/>
      </w:pPr>
      <w:r>
        <w:rPr>
          <w:rStyle w:val="FootnoteReference"/>
        </w:rPr>
        <w:footnoteRef/>
      </w:r>
      <w:r>
        <w:t xml:space="preserve"> MKN </w:t>
      </w:r>
      <w:r w:rsidRPr="001B25C5">
        <w:t xml:space="preserve">19.4. </w:t>
      </w:r>
      <w:r w:rsidR="00BD5670">
        <w:t xml:space="preserve">apakšpunkts: </w:t>
      </w:r>
      <w:r w:rsidRPr="001B25C5">
        <w:t xml:space="preserve">kredītiestāde apņemas nodot visu finansiālo labumu saimnieciskās darbības veicējam aizdevuma procentu likmes vai nodrošinājuma koeficienta samazinājuma veidā; </w:t>
      </w:r>
      <w:r>
        <w:t>(Ja Pretendents nenodod visas Programmas finansiālās priekšrocības, valsts atbalsts iespējams Pretendenta līmenī un Pretendenta pienākums ir izslēgt šādus darījumus no portfeļa).</w:t>
      </w:r>
    </w:p>
  </w:footnote>
  <w:footnote w:id="2">
    <w:p w14:paraId="05F1F3B7" w14:textId="414ED85B" w:rsidR="00FB48E2" w:rsidRDefault="00FB48E2">
      <w:pPr>
        <w:pStyle w:val="FootnoteText"/>
      </w:pPr>
      <w:r>
        <w:rPr>
          <w:rStyle w:val="FootnoteReference"/>
        </w:rPr>
        <w:footnoteRef/>
      </w:r>
      <w:r>
        <w:t xml:space="preserve"> </w:t>
      </w:r>
      <w:r w:rsidR="001A49C3">
        <w:t>ALTUM</w:t>
      </w:r>
      <w:r>
        <w:t xml:space="preserve"> izstrādāts palīgmateriāls MVK statusa noteikšanai pieejams: - </w:t>
      </w:r>
      <w:hyperlink r:id="rId1" w:history="1">
        <w:r w:rsidRPr="00C52B79">
          <w:rPr>
            <w:rStyle w:val="Hyperlink"/>
          </w:rPr>
          <w:t>www.altum.lv/files/mvu_paligmaterials_v1_3.pdf</w:t>
        </w:r>
      </w:hyperlink>
    </w:p>
  </w:footnote>
  <w:footnote w:id="3">
    <w:p w14:paraId="4737632A" w14:textId="1151AEC4" w:rsidR="001B25C5" w:rsidRDefault="001B25C5" w:rsidP="001B25C5">
      <w:pPr>
        <w:pStyle w:val="FootnoteText"/>
        <w:jc w:val="both"/>
      </w:pPr>
      <w:r>
        <w:rPr>
          <w:rStyle w:val="FootnoteReference"/>
        </w:rPr>
        <w:footnoteRef/>
      </w:r>
      <w:r>
        <w:t xml:space="preserve"> MKN </w:t>
      </w:r>
      <w:r w:rsidRPr="001B25C5">
        <w:t>19.2.</w:t>
      </w:r>
      <w:r w:rsidR="00BD5670">
        <w:t xml:space="preserve"> apaš</w:t>
      </w:r>
      <w:r w:rsidR="00681F10">
        <w:t>punkts</w:t>
      </w:r>
      <w:r w:rsidRPr="001B25C5">
        <w:t xml:space="preserve"> kredītiestāde īsteno konsekventu finanšu pakalpojumu sniegšanas politiku, nodrošinot portfeļa pārvaldību un portfeļa riska diversifikāciju atbilstoši nozares standartiem un praksei, kā arī ievēro kredītpolitikas nosacījumus par saimnieciskās darbības veicēju līgumpārkāpumiem vai maksājuma kavējumiem </w:t>
      </w:r>
      <w:r w:rsidRPr="00681F10">
        <w:rPr>
          <w:i/>
          <w:iCs/>
        </w:rPr>
        <w:t>(default in respect to loan)</w:t>
      </w:r>
      <w:r w:rsidRPr="001B25C5">
        <w:t xml:space="preserve"> attiecībā uz citiem aizdevumiem kredītiestādē vai citās kredītiestādēs;</w:t>
      </w:r>
    </w:p>
  </w:footnote>
  <w:footnote w:id="4">
    <w:p w14:paraId="650E987C" w14:textId="3BED3A60" w:rsidR="00604718" w:rsidRDefault="00604718" w:rsidP="002E497D">
      <w:pPr>
        <w:pStyle w:val="FootnoteText"/>
        <w:jc w:val="both"/>
      </w:pPr>
      <w:r>
        <w:rPr>
          <w:rStyle w:val="FootnoteReference"/>
        </w:rPr>
        <w:footnoteRef/>
      </w:r>
      <w:r>
        <w:t xml:space="preserve"> Ar maksimālo </w:t>
      </w:r>
      <w:r w:rsidRPr="00446F49">
        <w:rPr>
          <w:i/>
          <w:iCs/>
        </w:rPr>
        <w:t>cap rate</w:t>
      </w:r>
      <w:r>
        <w:t xml:space="preserve"> (17,5%) un garantiju 80% iespējams izsniegt garantijas </w:t>
      </w:r>
      <w:r w:rsidR="0036302F">
        <w:t>20</w:t>
      </w:r>
      <w:r>
        <w:t xml:space="preserve"> milj. EUR</w:t>
      </w:r>
      <w:r w:rsidR="00446F49">
        <w:t xml:space="preserve"> apmērā</w:t>
      </w:r>
      <w:r>
        <w:t xml:space="preserve"> (3.5</w:t>
      </w:r>
      <w:r w:rsidR="00446F49">
        <w:t>mEUR</w:t>
      </w:r>
      <w:r>
        <w:t xml:space="preserve">/0.175) un piešķirt aizdevumus </w:t>
      </w:r>
      <w:r w:rsidR="0036302F">
        <w:t>25</w:t>
      </w:r>
      <w:r w:rsidR="00446F49">
        <w:t xml:space="preserve"> mEUR apmērā (3.5mEUR/0.175/0.8)</w:t>
      </w:r>
      <w:r w:rsidR="00B6229C">
        <w:t>.</w:t>
      </w:r>
    </w:p>
  </w:footnote>
  <w:footnote w:id="5">
    <w:p w14:paraId="57339DB5" w14:textId="1D8588C0" w:rsidR="00FA1D96" w:rsidRPr="000B3E73" w:rsidRDefault="00FA1D96" w:rsidP="002E497D">
      <w:pPr>
        <w:pStyle w:val="FootnoteText"/>
        <w:jc w:val="both"/>
      </w:pPr>
      <w:r w:rsidRPr="000B3E73">
        <w:rPr>
          <w:rStyle w:val="FootnoteReference"/>
        </w:rPr>
        <w:footnoteRef/>
      </w:r>
      <w:r w:rsidRPr="000B3E73">
        <w:t xml:space="preserve"> Orientējoši </w:t>
      </w:r>
      <w:r w:rsidR="00B6229C" w:rsidRPr="000B3E73">
        <w:t>1,5</w:t>
      </w:r>
      <w:r w:rsidRPr="000B3E73">
        <w:t xml:space="preserve"> milj. EUR, ar ko var izsniegt garantijas </w:t>
      </w:r>
      <w:r w:rsidR="00B6229C" w:rsidRPr="000B3E73">
        <w:t>8.6</w:t>
      </w:r>
      <w:r w:rsidRPr="000B3E73">
        <w:t xml:space="preserve"> milj. EUR apmērā</w:t>
      </w:r>
      <w:r w:rsidR="00B6229C" w:rsidRPr="000B3E73">
        <w:t xml:space="preserve"> (1.5mEUR/0.175)</w:t>
      </w:r>
      <w:r w:rsidRPr="000B3E73">
        <w:t>, aizdevumus 1</w:t>
      </w:r>
      <w:r w:rsidR="00B6229C" w:rsidRPr="000B3E73">
        <w:t>0</w:t>
      </w:r>
      <w:r w:rsidRPr="000B3E73">
        <w:t>.</w:t>
      </w:r>
      <w:r w:rsidR="00B6229C" w:rsidRPr="000B3E73">
        <w:t>7</w:t>
      </w:r>
      <w:r w:rsidRPr="000B3E73">
        <w:t xml:space="preserve"> milj. EUR apmērā</w:t>
      </w:r>
      <w:r w:rsidR="00B6229C" w:rsidRPr="000B3E73">
        <w:t xml:space="preserve"> (1.5mEUR/0.175/0.8)</w:t>
      </w:r>
      <w:r w:rsidRPr="000B3E73">
        <w:t xml:space="preserve">. Precīzs apjoms būs zināms 2022.gada </w:t>
      </w:r>
      <w:r w:rsidR="006F17EA" w:rsidRPr="000B3E73">
        <w:t>otrajā pusē</w:t>
      </w:r>
      <w:r w:rsidRPr="000B3E73">
        <w:t>, kad noslēgsies 1.kārt</w:t>
      </w:r>
      <w:r w:rsidR="00B6229C" w:rsidRPr="000B3E73">
        <w:t>a</w:t>
      </w:r>
      <w:r w:rsidRPr="000B3E73">
        <w:t>s</w:t>
      </w:r>
      <w:r w:rsidR="006F17EA" w:rsidRPr="000B3E73">
        <w:t xml:space="preserve"> un 2. kārtas</w:t>
      </w:r>
      <w:r w:rsidRPr="000B3E73">
        <w:t xml:space="preserve"> projektu īstenošana.</w:t>
      </w:r>
      <w:r w:rsidR="006F17EA" w:rsidRPr="000B3E73">
        <w:t xml:space="preserve"> Līgumi par 1. un 2. portfeļgarantiju kārtu beidzas ne vēlāk kā 2022. gada 30. jūnijā. </w:t>
      </w:r>
    </w:p>
  </w:footnote>
  <w:footnote w:id="6">
    <w:p w14:paraId="4F375BF3" w14:textId="77777777" w:rsidR="0098008C" w:rsidRDefault="0098008C" w:rsidP="0098008C">
      <w:pPr>
        <w:pStyle w:val="FootnoteText"/>
        <w:jc w:val="both"/>
      </w:pPr>
      <w:r>
        <w:rPr>
          <w:rStyle w:val="FootnoteReference"/>
        </w:rPr>
        <w:footnoteRef/>
      </w:r>
      <w:r>
        <w:t xml:space="preserve"> Ja ALTUM pieejams papildus finansējums no </w:t>
      </w:r>
      <w:r>
        <w:fldChar w:fldCharType="begin"/>
      </w:r>
      <w:r>
        <w:instrText xml:space="preserve"> REF _Ref100032549 \r \h  \* MERGEFORMAT </w:instrText>
      </w:r>
      <w:r>
        <w:fldChar w:fldCharType="separate"/>
      </w:r>
      <w:r>
        <w:t>42.1</w:t>
      </w:r>
      <w:r>
        <w:fldChar w:fldCharType="end"/>
      </w:r>
      <w:r>
        <w:t>.punktā minētā finansējuma vai citiem avotiem, finansējumu sadala proporcionāli šajā tabulā norādītajam apjomam.</w:t>
      </w:r>
    </w:p>
  </w:footnote>
  <w:footnote w:id="7">
    <w:p w14:paraId="7FBAA135" w14:textId="314A1D0D" w:rsidR="006F17EA" w:rsidRPr="000B3E73" w:rsidRDefault="006F17EA" w:rsidP="006F17EA">
      <w:pPr>
        <w:pStyle w:val="FootnoteText"/>
        <w:jc w:val="both"/>
      </w:pPr>
      <w:r>
        <w:rPr>
          <w:rStyle w:val="FootnoteReference"/>
        </w:rPr>
        <w:footnoteRef/>
      </w:r>
      <w:r>
        <w:t xml:space="preserve"> </w:t>
      </w:r>
      <w:r w:rsidRPr="000B3E73">
        <w:t>No kopējā 5 milj. EUR riska seguma, 3.5 milj. EUR ir garantētais riska segums. Atlikušais 1.5 milj. EUR segums ir aplēse</w:t>
      </w:r>
      <w:r w:rsidR="0042642A">
        <w:t xml:space="preserve"> atlases izsludināšanas brīdī</w:t>
      </w:r>
      <w:r w:rsidRPr="000B3E73">
        <w:t xml:space="preserve"> par riska seguma atlikumu no portfeļgarantiju 1. un 2. kārtas ieviešanas, kur precīzs apjoms būs zināms 2022.gada </w:t>
      </w:r>
      <w:r w:rsidR="0042642A">
        <w:t>3.ceturksnī</w:t>
      </w:r>
      <w:r w:rsidRPr="000B3E73">
        <w:t xml:space="preserve">, kad ALTUM tiks iesniegta informācija par izsniegtajiem apjomiem atbilstoši noslēgtajiem līgumiem. </w:t>
      </w:r>
    </w:p>
  </w:footnote>
  <w:footnote w:id="8">
    <w:p w14:paraId="5F5A149C" w14:textId="77777777" w:rsidR="00A73DE7" w:rsidRPr="0046313D" w:rsidRDefault="00A73DE7" w:rsidP="00A73DE7">
      <w:pPr>
        <w:pStyle w:val="FootnoteText"/>
        <w:jc w:val="both"/>
      </w:pPr>
      <w:r w:rsidRPr="0046313D">
        <w:rPr>
          <w:rStyle w:val="FootnoteReference"/>
        </w:rPr>
        <w:footnoteRef/>
      </w:r>
      <w:r w:rsidRPr="0046313D">
        <w:t xml:space="preserve"> Pieteikumu vērtēšanas laikā ALTUM ir tiesības intervēt Pretendenta darbiniekus, lūgt precizēt informāciju Pretendenta pieteikumā vai iesniegt papildus informāciju, lai pārliecinātos par Pretendenta atbilstību. Informācijas precizēšanas reižu skaits nav ierobežots.</w:t>
      </w:r>
    </w:p>
  </w:footnote>
  <w:footnote w:id="9">
    <w:p w14:paraId="1DD5949E" w14:textId="26B51407" w:rsidR="00A73DE7" w:rsidRDefault="00A73DE7" w:rsidP="00A73DE7">
      <w:pPr>
        <w:pStyle w:val="FootnoteText"/>
      </w:pPr>
      <w:r>
        <w:rPr>
          <w:rStyle w:val="FootnoteReference"/>
        </w:rPr>
        <w:footnoteRef/>
      </w:r>
      <w:r>
        <w:t xml:space="preserve"> Saskaņā ar Pretendenta sniegto informāciju</w:t>
      </w:r>
      <w:r w:rsidR="00E62FE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2C0D" w14:textId="77777777" w:rsidR="00DA50CE" w:rsidRDefault="00DA50CE" w:rsidP="00B25B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1DDB25" w14:textId="77777777" w:rsidR="00DA50CE" w:rsidRDefault="00DA50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C15B" w14:textId="0BC5231B" w:rsidR="00DA50CE" w:rsidRPr="004640E2" w:rsidRDefault="00DA50CE" w:rsidP="004640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04D8" w14:textId="06EB9D7E" w:rsidR="00DA50CE" w:rsidRPr="003A093E" w:rsidRDefault="00DA50CE" w:rsidP="0053447D">
    <w:pPr>
      <w:pStyle w:val="Header"/>
      <w:tabs>
        <w:tab w:val="left" w:pos="6039"/>
        <w:tab w:val="right" w:pos="9072"/>
      </w:tabs>
      <w:rPr>
        <w:rFonts w:asciiTheme="minorHAnsi" w:hAnsiTheme="minorHAnsi"/>
        <w:color w:val="BFBFBF" w:themeColor="background1" w:themeShade="BF"/>
      </w:rPr>
    </w:pPr>
    <w:r>
      <w:rPr>
        <w:rFonts w:asciiTheme="minorHAnsi" w:hAnsiTheme="minorHAnsi"/>
        <w:i/>
        <w:color w:val="BFBFBF" w:themeColor="background1" w:themeShade="BF"/>
      </w:rPr>
      <w:tab/>
    </w:r>
    <w:r>
      <w:rPr>
        <w:rFonts w:asciiTheme="minorHAnsi" w:hAnsiTheme="minorHAnsi"/>
        <w:i/>
        <w:color w:val="BFBFBF" w:themeColor="background1" w:themeShade="B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A10372E"/>
    <w:name w:val="WW8Num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990"/>
        </w:tabs>
        <w:ind w:left="990" w:hanging="630"/>
      </w:pPr>
      <w:rPr>
        <w:color w:val="auto"/>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1FB36B0"/>
    <w:multiLevelType w:val="hybridMultilevel"/>
    <w:tmpl w:val="7C4C0F1C"/>
    <w:lvl w:ilvl="0" w:tplc="0674FFA2">
      <w:start w:val="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67032"/>
    <w:multiLevelType w:val="multilevel"/>
    <w:tmpl w:val="FB5A4D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CF30499"/>
    <w:multiLevelType w:val="hybridMultilevel"/>
    <w:tmpl w:val="1174007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F7E790C"/>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B71FD"/>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0626B"/>
    <w:multiLevelType w:val="multilevel"/>
    <w:tmpl w:val="26329B2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4F07B56"/>
    <w:multiLevelType w:val="hybridMultilevel"/>
    <w:tmpl w:val="F08EF63E"/>
    <w:lvl w:ilvl="0" w:tplc="84D6A380">
      <w:start w:val="2"/>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 w15:restartNumberingAfterBreak="0">
    <w:nsid w:val="1DB437E4"/>
    <w:multiLevelType w:val="hybridMultilevel"/>
    <w:tmpl w:val="297858D8"/>
    <w:lvl w:ilvl="0" w:tplc="B934B1A2">
      <w:start w:val="1"/>
      <w:numFmt w:val="decimal"/>
      <w:lvlText w:val="%1."/>
      <w:lvlJc w:val="left"/>
      <w:pPr>
        <w:tabs>
          <w:tab w:val="num" w:pos="3240"/>
        </w:tabs>
        <w:ind w:left="3240" w:hanging="360"/>
      </w:pPr>
      <w:rPr>
        <w:rFonts w:hint="default"/>
        <w:b/>
      </w:rPr>
    </w:lvl>
    <w:lvl w:ilvl="1" w:tplc="04260019" w:tentative="1">
      <w:start w:val="1"/>
      <w:numFmt w:val="lowerLetter"/>
      <w:lvlText w:val="%2."/>
      <w:lvlJc w:val="left"/>
      <w:pPr>
        <w:tabs>
          <w:tab w:val="num" w:pos="3960"/>
        </w:tabs>
        <w:ind w:left="3960" w:hanging="360"/>
      </w:pPr>
    </w:lvl>
    <w:lvl w:ilvl="2" w:tplc="0426001B" w:tentative="1">
      <w:start w:val="1"/>
      <w:numFmt w:val="lowerRoman"/>
      <w:lvlText w:val="%3."/>
      <w:lvlJc w:val="right"/>
      <w:pPr>
        <w:tabs>
          <w:tab w:val="num" w:pos="4680"/>
        </w:tabs>
        <w:ind w:left="4680" w:hanging="180"/>
      </w:pPr>
    </w:lvl>
    <w:lvl w:ilvl="3" w:tplc="0426000F" w:tentative="1">
      <w:start w:val="1"/>
      <w:numFmt w:val="decimal"/>
      <w:lvlText w:val="%4."/>
      <w:lvlJc w:val="left"/>
      <w:pPr>
        <w:tabs>
          <w:tab w:val="num" w:pos="5400"/>
        </w:tabs>
        <w:ind w:left="5400" w:hanging="360"/>
      </w:pPr>
    </w:lvl>
    <w:lvl w:ilvl="4" w:tplc="04260019" w:tentative="1">
      <w:start w:val="1"/>
      <w:numFmt w:val="lowerLetter"/>
      <w:lvlText w:val="%5."/>
      <w:lvlJc w:val="left"/>
      <w:pPr>
        <w:tabs>
          <w:tab w:val="num" w:pos="6120"/>
        </w:tabs>
        <w:ind w:left="6120" w:hanging="360"/>
      </w:pPr>
    </w:lvl>
    <w:lvl w:ilvl="5" w:tplc="0426001B" w:tentative="1">
      <w:start w:val="1"/>
      <w:numFmt w:val="lowerRoman"/>
      <w:lvlText w:val="%6."/>
      <w:lvlJc w:val="right"/>
      <w:pPr>
        <w:tabs>
          <w:tab w:val="num" w:pos="6840"/>
        </w:tabs>
        <w:ind w:left="6840" w:hanging="180"/>
      </w:pPr>
    </w:lvl>
    <w:lvl w:ilvl="6" w:tplc="0426000F" w:tentative="1">
      <w:start w:val="1"/>
      <w:numFmt w:val="decimal"/>
      <w:lvlText w:val="%7."/>
      <w:lvlJc w:val="left"/>
      <w:pPr>
        <w:tabs>
          <w:tab w:val="num" w:pos="7560"/>
        </w:tabs>
        <w:ind w:left="7560" w:hanging="360"/>
      </w:pPr>
    </w:lvl>
    <w:lvl w:ilvl="7" w:tplc="04260019" w:tentative="1">
      <w:start w:val="1"/>
      <w:numFmt w:val="lowerLetter"/>
      <w:lvlText w:val="%8."/>
      <w:lvlJc w:val="left"/>
      <w:pPr>
        <w:tabs>
          <w:tab w:val="num" w:pos="8280"/>
        </w:tabs>
        <w:ind w:left="8280" w:hanging="360"/>
      </w:pPr>
    </w:lvl>
    <w:lvl w:ilvl="8" w:tplc="0426001B" w:tentative="1">
      <w:start w:val="1"/>
      <w:numFmt w:val="lowerRoman"/>
      <w:lvlText w:val="%9."/>
      <w:lvlJc w:val="right"/>
      <w:pPr>
        <w:tabs>
          <w:tab w:val="num" w:pos="9000"/>
        </w:tabs>
        <w:ind w:left="9000" w:hanging="180"/>
      </w:pPr>
    </w:lvl>
  </w:abstractNum>
  <w:abstractNum w:abstractNumId="9" w15:restartNumberingAfterBreak="0">
    <w:nsid w:val="23814B6F"/>
    <w:multiLevelType w:val="hybridMultilevel"/>
    <w:tmpl w:val="12D83D2C"/>
    <w:lvl w:ilvl="0" w:tplc="92FEA93C">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8DF3A26"/>
    <w:multiLevelType w:val="hybridMultilevel"/>
    <w:tmpl w:val="264E0AC6"/>
    <w:lvl w:ilvl="0" w:tplc="A66060AC">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15:restartNumberingAfterBreak="0">
    <w:nsid w:val="2A535D14"/>
    <w:multiLevelType w:val="multilevel"/>
    <w:tmpl w:val="15DE2AB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A23EAA"/>
    <w:multiLevelType w:val="multilevel"/>
    <w:tmpl w:val="EEE8CA7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2B7D1D02"/>
    <w:multiLevelType w:val="hybridMultilevel"/>
    <w:tmpl w:val="3E9A140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4" w15:restartNumberingAfterBreak="0">
    <w:nsid w:val="3180295B"/>
    <w:multiLevelType w:val="hybridMultilevel"/>
    <w:tmpl w:val="6DA86212"/>
    <w:lvl w:ilvl="0" w:tplc="4EE400E4">
      <w:start w:val="4"/>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4AB45A8"/>
    <w:multiLevelType w:val="multilevel"/>
    <w:tmpl w:val="F828D0AE"/>
    <w:lvl w:ilvl="0">
      <w:start w:val="7"/>
      <w:numFmt w:val="decimal"/>
      <w:lvlText w:val="%1."/>
      <w:lvlJc w:val="left"/>
      <w:pPr>
        <w:ind w:left="3240" w:hanging="360"/>
      </w:pPr>
      <w:rPr>
        <w:rFonts w:ascii="Times New Roman" w:hAnsi="Times New Roman" w:hint="default"/>
        <w:b/>
        <w:i w:val="0"/>
        <w:sz w:val="22"/>
        <w:u w:val="none"/>
      </w:rPr>
    </w:lvl>
    <w:lvl w:ilvl="1" w:tentative="1">
      <w:start w:val="1"/>
      <w:numFmt w:val="lowerLetter"/>
      <w:lvlText w:val="%2."/>
      <w:lvlJc w:val="left"/>
      <w:pPr>
        <w:tabs>
          <w:tab w:val="num" w:pos="3960"/>
        </w:tabs>
        <w:ind w:left="3960" w:hanging="360"/>
      </w:pPr>
    </w:lvl>
    <w:lvl w:ilvl="2" w:tentative="1">
      <w:start w:val="1"/>
      <w:numFmt w:val="lowerRoman"/>
      <w:lvlText w:val="%3."/>
      <w:lvlJc w:val="right"/>
      <w:pPr>
        <w:tabs>
          <w:tab w:val="num" w:pos="4680"/>
        </w:tabs>
        <w:ind w:left="4680" w:hanging="180"/>
      </w:pPr>
    </w:lvl>
    <w:lvl w:ilvl="3" w:tentative="1">
      <w:start w:val="1"/>
      <w:numFmt w:val="decimal"/>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Roman"/>
      <w:lvlText w:val="%6."/>
      <w:lvlJc w:val="right"/>
      <w:pPr>
        <w:tabs>
          <w:tab w:val="num" w:pos="6840"/>
        </w:tabs>
        <w:ind w:left="6840" w:hanging="180"/>
      </w:pPr>
    </w:lvl>
    <w:lvl w:ilvl="6" w:tentative="1">
      <w:start w:val="1"/>
      <w:numFmt w:val="decimal"/>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Roman"/>
      <w:lvlText w:val="%9."/>
      <w:lvlJc w:val="right"/>
      <w:pPr>
        <w:tabs>
          <w:tab w:val="num" w:pos="9000"/>
        </w:tabs>
        <w:ind w:left="9000" w:hanging="180"/>
      </w:pPr>
    </w:lvl>
  </w:abstractNum>
  <w:abstractNum w:abstractNumId="16" w15:restartNumberingAfterBreak="0">
    <w:nsid w:val="3F143498"/>
    <w:multiLevelType w:val="hybridMultilevel"/>
    <w:tmpl w:val="D6841ECE"/>
    <w:lvl w:ilvl="0" w:tplc="62AE369E">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7" w15:restartNumberingAfterBreak="0">
    <w:nsid w:val="3FB30A11"/>
    <w:multiLevelType w:val="multilevel"/>
    <w:tmpl w:val="F340A826"/>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360"/>
        </w:tabs>
        <w:ind w:left="360" w:hanging="36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311243E"/>
    <w:multiLevelType w:val="multilevel"/>
    <w:tmpl w:val="15DE2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F57A79"/>
    <w:multiLevelType w:val="multilevel"/>
    <w:tmpl w:val="F340A826"/>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360"/>
        </w:tabs>
        <w:ind w:left="360" w:hanging="36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9DE2008"/>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2F0B5B"/>
    <w:multiLevelType w:val="multilevel"/>
    <w:tmpl w:val="AB5ED9CA"/>
    <w:lvl w:ilvl="0">
      <w:start w:val="7"/>
      <w:numFmt w:val="decimal"/>
      <w:lvlText w:val="%1."/>
      <w:lvlJc w:val="left"/>
      <w:pPr>
        <w:ind w:left="480" w:hanging="480"/>
      </w:pPr>
      <w:rPr>
        <w:rFonts w:hint="default"/>
      </w:rPr>
    </w:lvl>
    <w:lvl w:ilvl="1">
      <w:start w:val="12"/>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2681CB1"/>
    <w:multiLevelType w:val="hybridMultilevel"/>
    <w:tmpl w:val="9874407E"/>
    <w:lvl w:ilvl="0" w:tplc="04260011">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23" w15:restartNumberingAfterBreak="0">
    <w:nsid w:val="53E96AEA"/>
    <w:multiLevelType w:val="hybridMultilevel"/>
    <w:tmpl w:val="73BA0C88"/>
    <w:lvl w:ilvl="0" w:tplc="965608FE">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4" w15:restartNumberingAfterBreak="0">
    <w:nsid w:val="61513622"/>
    <w:multiLevelType w:val="hybridMultilevel"/>
    <w:tmpl w:val="024C8280"/>
    <w:lvl w:ilvl="0" w:tplc="4BD46048">
      <w:start w:val="1"/>
      <w:numFmt w:val="lowerLetter"/>
      <w:lvlText w:val="(%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25" w15:restartNumberingAfterBreak="0">
    <w:nsid w:val="6842701C"/>
    <w:multiLevelType w:val="multilevel"/>
    <w:tmpl w:val="DF3A47F8"/>
    <w:lvl w:ilvl="0">
      <w:start w:val="5"/>
      <w:numFmt w:val="decimal"/>
      <w:lvlText w:val="%1."/>
      <w:lvlJc w:val="left"/>
      <w:pPr>
        <w:tabs>
          <w:tab w:val="num" w:pos="3240"/>
        </w:tabs>
        <w:ind w:left="3240" w:hanging="360"/>
      </w:pPr>
      <w:rPr>
        <w:rFonts w:hint="default"/>
      </w:rPr>
    </w:lvl>
    <w:lvl w:ilvl="1">
      <w:start w:val="3"/>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960"/>
        </w:tabs>
        <w:ind w:left="3960" w:hanging="1080"/>
      </w:pPr>
      <w:rPr>
        <w:rFonts w:hint="default"/>
      </w:rPr>
    </w:lvl>
    <w:lvl w:ilvl="3">
      <w:start w:val="1"/>
      <w:numFmt w:val="decimal"/>
      <w:isLgl/>
      <w:lvlText w:val="%1.%2.%3.%4."/>
      <w:lvlJc w:val="left"/>
      <w:pPr>
        <w:tabs>
          <w:tab w:val="num" w:pos="3960"/>
        </w:tabs>
        <w:ind w:left="396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4680"/>
        </w:tabs>
        <w:ind w:left="4680" w:hanging="1800"/>
      </w:pPr>
      <w:rPr>
        <w:rFonts w:hint="default"/>
      </w:rPr>
    </w:lvl>
    <w:lvl w:ilvl="6">
      <w:start w:val="1"/>
      <w:numFmt w:val="decimal"/>
      <w:isLgl/>
      <w:lvlText w:val="%1.%2.%3.%4.%5.%6.%7."/>
      <w:lvlJc w:val="left"/>
      <w:pPr>
        <w:tabs>
          <w:tab w:val="num" w:pos="5040"/>
        </w:tabs>
        <w:ind w:left="5040" w:hanging="216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520"/>
      </w:pPr>
      <w:rPr>
        <w:rFonts w:hint="default"/>
      </w:rPr>
    </w:lvl>
  </w:abstractNum>
  <w:abstractNum w:abstractNumId="26" w15:restartNumberingAfterBreak="0">
    <w:nsid w:val="72962CCD"/>
    <w:multiLevelType w:val="hybridMultilevel"/>
    <w:tmpl w:val="A3324E3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73AD0FD5"/>
    <w:multiLevelType w:val="multilevel"/>
    <w:tmpl w:val="F340A826"/>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360"/>
        </w:tabs>
        <w:ind w:left="360" w:hanging="36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4622140"/>
    <w:multiLevelType w:val="hybridMultilevel"/>
    <w:tmpl w:val="B3D818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4E25F75"/>
    <w:multiLevelType w:val="multilevel"/>
    <w:tmpl w:val="094AC282"/>
    <w:lvl w:ilvl="0">
      <w:start w:val="1"/>
      <w:numFmt w:val="decimal"/>
      <w:lvlText w:val="%1."/>
      <w:lvlJc w:val="left"/>
      <w:pPr>
        <w:ind w:left="1353" w:hanging="360"/>
      </w:pPr>
      <w:rPr>
        <w:rFonts w:ascii="Times New Roman" w:hAnsi="Times New Roman" w:cs="Times New Roman" w:hint="default"/>
        <w:b w:val="0"/>
      </w:rPr>
    </w:lvl>
    <w:lvl w:ilvl="1">
      <w:start w:val="1"/>
      <w:numFmt w:val="decimal"/>
      <w:lvlText w:val="%1.%2."/>
      <w:lvlJc w:val="left"/>
      <w:pPr>
        <w:ind w:left="792" w:hanging="432"/>
      </w:pPr>
      <w:rPr>
        <w:rFonts w:cs="Times New Roman"/>
        <w:b w:val="0"/>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75CE3F4A"/>
    <w:multiLevelType w:val="hybridMultilevel"/>
    <w:tmpl w:val="B36249CE"/>
    <w:lvl w:ilvl="0" w:tplc="C630C3B6">
      <w:start w:val="1"/>
      <w:numFmt w:val="decimal"/>
      <w:lvlText w:val="%1."/>
      <w:lvlJc w:val="left"/>
      <w:pPr>
        <w:ind w:left="840" w:hanging="54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31" w15:restartNumberingAfterBreak="0">
    <w:nsid w:val="78051DBC"/>
    <w:multiLevelType w:val="multilevel"/>
    <w:tmpl w:val="F340A826"/>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928"/>
        </w:tabs>
        <w:ind w:left="928" w:hanging="36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6"/>
  </w:num>
  <w:num w:numId="3">
    <w:abstractNumId w:val="13"/>
  </w:num>
  <w:num w:numId="4">
    <w:abstractNumId w:val="3"/>
  </w:num>
  <w:num w:numId="5">
    <w:abstractNumId w:val="26"/>
  </w:num>
  <w:num w:numId="6">
    <w:abstractNumId w:val="21"/>
  </w:num>
  <w:num w:numId="7">
    <w:abstractNumId w:val="4"/>
  </w:num>
  <w:num w:numId="8">
    <w:abstractNumId w:val="15"/>
  </w:num>
  <w:num w:numId="9">
    <w:abstractNumId w:val="25"/>
  </w:num>
  <w:num w:numId="10">
    <w:abstractNumId w:val="8"/>
  </w:num>
  <w:num w:numId="11">
    <w:abstractNumId w:val="2"/>
  </w:num>
  <w:num w:numId="12">
    <w:abstractNumId w:val="20"/>
  </w:num>
  <w:num w:numId="13">
    <w:abstractNumId w:val="5"/>
  </w:num>
  <w:num w:numId="14">
    <w:abstractNumId w:val="28"/>
  </w:num>
  <w:num w:numId="15">
    <w:abstractNumId w:val="29"/>
  </w:num>
  <w:num w:numId="16">
    <w:abstractNumId w:val="30"/>
  </w:num>
  <w:num w:numId="17">
    <w:abstractNumId w:val="12"/>
  </w:num>
  <w:num w:numId="18">
    <w:abstractNumId w:val="24"/>
  </w:num>
  <w:num w:numId="19">
    <w:abstractNumId w:val="14"/>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3"/>
  </w:num>
  <w:num w:numId="23">
    <w:abstractNumId w:val="1"/>
  </w:num>
  <w:num w:numId="24">
    <w:abstractNumId w:val="31"/>
  </w:num>
  <w:num w:numId="25">
    <w:abstractNumId w:val="19"/>
  </w:num>
  <w:num w:numId="26">
    <w:abstractNumId w:val="17"/>
  </w:num>
  <w:num w:numId="27">
    <w:abstractNumId w:val="27"/>
  </w:num>
  <w:num w:numId="28">
    <w:abstractNumId w:val="11"/>
  </w:num>
  <w:num w:numId="29">
    <w:abstractNumId w:val="9"/>
  </w:num>
  <w:num w:numId="30">
    <w:abstractNumId w:val="10"/>
  </w:num>
  <w:num w:numId="31">
    <w:abstractNumId w:val="16"/>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A"/>
    <w:rsid w:val="000016BD"/>
    <w:rsid w:val="00001B4E"/>
    <w:rsid w:val="000035E9"/>
    <w:rsid w:val="000120ED"/>
    <w:rsid w:val="00013C19"/>
    <w:rsid w:val="00014140"/>
    <w:rsid w:val="00016312"/>
    <w:rsid w:val="00016C0C"/>
    <w:rsid w:val="0001753D"/>
    <w:rsid w:val="00020359"/>
    <w:rsid w:val="00022E93"/>
    <w:rsid w:val="000234A0"/>
    <w:rsid w:val="00027C7B"/>
    <w:rsid w:val="00032E03"/>
    <w:rsid w:val="00033262"/>
    <w:rsid w:val="000332B6"/>
    <w:rsid w:val="000341C8"/>
    <w:rsid w:val="00035C6D"/>
    <w:rsid w:val="00044FC6"/>
    <w:rsid w:val="00046D11"/>
    <w:rsid w:val="00047007"/>
    <w:rsid w:val="00052D55"/>
    <w:rsid w:val="0005508D"/>
    <w:rsid w:val="00055AEA"/>
    <w:rsid w:val="00056905"/>
    <w:rsid w:val="00056D73"/>
    <w:rsid w:val="0006040A"/>
    <w:rsid w:val="000626DB"/>
    <w:rsid w:val="000675A3"/>
    <w:rsid w:val="000714C5"/>
    <w:rsid w:val="00076224"/>
    <w:rsid w:val="00077A0C"/>
    <w:rsid w:val="00081EB3"/>
    <w:rsid w:val="00083136"/>
    <w:rsid w:val="0008382D"/>
    <w:rsid w:val="00085612"/>
    <w:rsid w:val="00090331"/>
    <w:rsid w:val="000943C5"/>
    <w:rsid w:val="00094DAA"/>
    <w:rsid w:val="00097762"/>
    <w:rsid w:val="000A1181"/>
    <w:rsid w:val="000A5BB5"/>
    <w:rsid w:val="000B1D4C"/>
    <w:rsid w:val="000B3E73"/>
    <w:rsid w:val="000B3FF0"/>
    <w:rsid w:val="000B415D"/>
    <w:rsid w:val="000B4480"/>
    <w:rsid w:val="000B77AB"/>
    <w:rsid w:val="000B7EC7"/>
    <w:rsid w:val="000C03B2"/>
    <w:rsid w:val="000C2055"/>
    <w:rsid w:val="000C33CB"/>
    <w:rsid w:val="000C5806"/>
    <w:rsid w:val="000C6826"/>
    <w:rsid w:val="000C6B59"/>
    <w:rsid w:val="000D107A"/>
    <w:rsid w:val="000D1DA0"/>
    <w:rsid w:val="000D75AF"/>
    <w:rsid w:val="000E0BF3"/>
    <w:rsid w:val="000E466F"/>
    <w:rsid w:val="000F0518"/>
    <w:rsid w:val="000F1D28"/>
    <w:rsid w:val="000F500A"/>
    <w:rsid w:val="000F5A6B"/>
    <w:rsid w:val="000F5D67"/>
    <w:rsid w:val="0010213A"/>
    <w:rsid w:val="00102C2A"/>
    <w:rsid w:val="00103B68"/>
    <w:rsid w:val="001055F0"/>
    <w:rsid w:val="00106E4E"/>
    <w:rsid w:val="001122DA"/>
    <w:rsid w:val="00113E49"/>
    <w:rsid w:val="001140B0"/>
    <w:rsid w:val="00116728"/>
    <w:rsid w:val="00116BF9"/>
    <w:rsid w:val="00125F52"/>
    <w:rsid w:val="001271FD"/>
    <w:rsid w:val="001307FB"/>
    <w:rsid w:val="00134D84"/>
    <w:rsid w:val="001407B1"/>
    <w:rsid w:val="00141D30"/>
    <w:rsid w:val="001435F4"/>
    <w:rsid w:val="001441A6"/>
    <w:rsid w:val="0015736F"/>
    <w:rsid w:val="001603B2"/>
    <w:rsid w:val="00160BB2"/>
    <w:rsid w:val="00162ECF"/>
    <w:rsid w:val="00163F6A"/>
    <w:rsid w:val="001676A1"/>
    <w:rsid w:val="0017259E"/>
    <w:rsid w:val="0017355D"/>
    <w:rsid w:val="00175B76"/>
    <w:rsid w:val="00176804"/>
    <w:rsid w:val="001808F7"/>
    <w:rsid w:val="001815FA"/>
    <w:rsid w:val="00182BF2"/>
    <w:rsid w:val="00182BFF"/>
    <w:rsid w:val="001835E6"/>
    <w:rsid w:val="00185642"/>
    <w:rsid w:val="00190B95"/>
    <w:rsid w:val="00191B0C"/>
    <w:rsid w:val="001920BA"/>
    <w:rsid w:val="00194100"/>
    <w:rsid w:val="00194275"/>
    <w:rsid w:val="00196207"/>
    <w:rsid w:val="00196E98"/>
    <w:rsid w:val="001A49C3"/>
    <w:rsid w:val="001B25C5"/>
    <w:rsid w:val="001B498C"/>
    <w:rsid w:val="001B5A17"/>
    <w:rsid w:val="001C0200"/>
    <w:rsid w:val="001C766F"/>
    <w:rsid w:val="001D04FB"/>
    <w:rsid w:val="001D0A7E"/>
    <w:rsid w:val="001D4CC6"/>
    <w:rsid w:val="001D7A9F"/>
    <w:rsid w:val="001E5673"/>
    <w:rsid w:val="001E62AB"/>
    <w:rsid w:val="001F2CC7"/>
    <w:rsid w:val="001F34A8"/>
    <w:rsid w:val="001F7AE7"/>
    <w:rsid w:val="00200580"/>
    <w:rsid w:val="00201524"/>
    <w:rsid w:val="00202FCF"/>
    <w:rsid w:val="00204031"/>
    <w:rsid w:val="0020461A"/>
    <w:rsid w:val="00211B37"/>
    <w:rsid w:val="00221E58"/>
    <w:rsid w:val="00223CF3"/>
    <w:rsid w:val="002242A1"/>
    <w:rsid w:val="00224E21"/>
    <w:rsid w:val="0022633D"/>
    <w:rsid w:val="00234798"/>
    <w:rsid w:val="00237889"/>
    <w:rsid w:val="00237F1F"/>
    <w:rsid w:val="00243CE6"/>
    <w:rsid w:val="00243E9B"/>
    <w:rsid w:val="002506E7"/>
    <w:rsid w:val="0025328D"/>
    <w:rsid w:val="00254008"/>
    <w:rsid w:val="002547C0"/>
    <w:rsid w:val="0026164A"/>
    <w:rsid w:val="00261AF9"/>
    <w:rsid w:val="002647CA"/>
    <w:rsid w:val="0026686E"/>
    <w:rsid w:val="00270A46"/>
    <w:rsid w:val="00271075"/>
    <w:rsid w:val="002715FB"/>
    <w:rsid w:val="00272724"/>
    <w:rsid w:val="00273602"/>
    <w:rsid w:val="002741B5"/>
    <w:rsid w:val="002767DB"/>
    <w:rsid w:val="002778C8"/>
    <w:rsid w:val="002827EF"/>
    <w:rsid w:val="0028314E"/>
    <w:rsid w:val="002912D9"/>
    <w:rsid w:val="002969D0"/>
    <w:rsid w:val="002A137B"/>
    <w:rsid w:val="002A27D9"/>
    <w:rsid w:val="002A33A0"/>
    <w:rsid w:val="002A3DAF"/>
    <w:rsid w:val="002A5B16"/>
    <w:rsid w:val="002B0DEF"/>
    <w:rsid w:val="002B1108"/>
    <w:rsid w:val="002B22AE"/>
    <w:rsid w:val="002B3D8E"/>
    <w:rsid w:val="002B4772"/>
    <w:rsid w:val="002C1467"/>
    <w:rsid w:val="002C4F31"/>
    <w:rsid w:val="002D7090"/>
    <w:rsid w:val="002E38F5"/>
    <w:rsid w:val="002E4593"/>
    <w:rsid w:val="002E497D"/>
    <w:rsid w:val="002E609B"/>
    <w:rsid w:val="002E6195"/>
    <w:rsid w:val="002E7718"/>
    <w:rsid w:val="002E79F6"/>
    <w:rsid w:val="002F1AD4"/>
    <w:rsid w:val="002F2386"/>
    <w:rsid w:val="002F252F"/>
    <w:rsid w:val="002F480A"/>
    <w:rsid w:val="002F4956"/>
    <w:rsid w:val="002F4AB4"/>
    <w:rsid w:val="003006A3"/>
    <w:rsid w:val="00300CBA"/>
    <w:rsid w:val="00301A7B"/>
    <w:rsid w:val="00304A94"/>
    <w:rsid w:val="003076E2"/>
    <w:rsid w:val="00310290"/>
    <w:rsid w:val="00321348"/>
    <w:rsid w:val="00324C4C"/>
    <w:rsid w:val="00327817"/>
    <w:rsid w:val="00332AED"/>
    <w:rsid w:val="00334E38"/>
    <w:rsid w:val="003432DE"/>
    <w:rsid w:val="00344F5F"/>
    <w:rsid w:val="003459D1"/>
    <w:rsid w:val="00355EBA"/>
    <w:rsid w:val="00357200"/>
    <w:rsid w:val="00362608"/>
    <w:rsid w:val="0036302F"/>
    <w:rsid w:val="0036523B"/>
    <w:rsid w:val="00366CDF"/>
    <w:rsid w:val="003758A1"/>
    <w:rsid w:val="003759B6"/>
    <w:rsid w:val="0038144E"/>
    <w:rsid w:val="00382494"/>
    <w:rsid w:val="0038277B"/>
    <w:rsid w:val="00384170"/>
    <w:rsid w:val="00384711"/>
    <w:rsid w:val="0038543E"/>
    <w:rsid w:val="0038680A"/>
    <w:rsid w:val="00391303"/>
    <w:rsid w:val="003928AF"/>
    <w:rsid w:val="00394B4E"/>
    <w:rsid w:val="003957EC"/>
    <w:rsid w:val="00396157"/>
    <w:rsid w:val="003A0192"/>
    <w:rsid w:val="003A0693"/>
    <w:rsid w:val="003A093E"/>
    <w:rsid w:val="003A3D8C"/>
    <w:rsid w:val="003A54AD"/>
    <w:rsid w:val="003A67BF"/>
    <w:rsid w:val="003B52E2"/>
    <w:rsid w:val="003B6845"/>
    <w:rsid w:val="003B745C"/>
    <w:rsid w:val="003B757B"/>
    <w:rsid w:val="003C786E"/>
    <w:rsid w:val="003C7C85"/>
    <w:rsid w:val="003D042A"/>
    <w:rsid w:val="003D0C6F"/>
    <w:rsid w:val="003D1834"/>
    <w:rsid w:val="003D3CCA"/>
    <w:rsid w:val="003D7556"/>
    <w:rsid w:val="003E01E5"/>
    <w:rsid w:val="003E057B"/>
    <w:rsid w:val="003E5F61"/>
    <w:rsid w:val="003E6B59"/>
    <w:rsid w:val="003E6E99"/>
    <w:rsid w:val="003E6ECC"/>
    <w:rsid w:val="003F043E"/>
    <w:rsid w:val="003F1909"/>
    <w:rsid w:val="003F1AC7"/>
    <w:rsid w:val="003F5596"/>
    <w:rsid w:val="003F63C1"/>
    <w:rsid w:val="003F7C00"/>
    <w:rsid w:val="00400637"/>
    <w:rsid w:val="00400D4D"/>
    <w:rsid w:val="00401D33"/>
    <w:rsid w:val="004026CD"/>
    <w:rsid w:val="004045BA"/>
    <w:rsid w:val="00404A06"/>
    <w:rsid w:val="00410E85"/>
    <w:rsid w:val="004124BC"/>
    <w:rsid w:val="00424AEA"/>
    <w:rsid w:val="00424F7F"/>
    <w:rsid w:val="0042642A"/>
    <w:rsid w:val="00426B2A"/>
    <w:rsid w:val="00427CBC"/>
    <w:rsid w:val="00427EA1"/>
    <w:rsid w:val="004300E0"/>
    <w:rsid w:val="004318A7"/>
    <w:rsid w:val="00431EF1"/>
    <w:rsid w:val="004326A4"/>
    <w:rsid w:val="00433697"/>
    <w:rsid w:val="00433CC5"/>
    <w:rsid w:val="00433D51"/>
    <w:rsid w:val="0043454A"/>
    <w:rsid w:val="00436BE6"/>
    <w:rsid w:val="00441288"/>
    <w:rsid w:val="00441DC7"/>
    <w:rsid w:val="00446F49"/>
    <w:rsid w:val="00451858"/>
    <w:rsid w:val="004556EE"/>
    <w:rsid w:val="00460AA4"/>
    <w:rsid w:val="00460AA7"/>
    <w:rsid w:val="004640E2"/>
    <w:rsid w:val="00464272"/>
    <w:rsid w:val="004643E2"/>
    <w:rsid w:val="00466C8D"/>
    <w:rsid w:val="004716A0"/>
    <w:rsid w:val="00472989"/>
    <w:rsid w:val="00476E4A"/>
    <w:rsid w:val="00482717"/>
    <w:rsid w:val="00487240"/>
    <w:rsid w:val="00490409"/>
    <w:rsid w:val="0049115F"/>
    <w:rsid w:val="00491964"/>
    <w:rsid w:val="00492062"/>
    <w:rsid w:val="004956DA"/>
    <w:rsid w:val="00495D9D"/>
    <w:rsid w:val="00497476"/>
    <w:rsid w:val="004A021E"/>
    <w:rsid w:val="004A1559"/>
    <w:rsid w:val="004A3293"/>
    <w:rsid w:val="004A32CF"/>
    <w:rsid w:val="004B0195"/>
    <w:rsid w:val="004B105F"/>
    <w:rsid w:val="004B1638"/>
    <w:rsid w:val="004B1A06"/>
    <w:rsid w:val="004B265A"/>
    <w:rsid w:val="004B2D2D"/>
    <w:rsid w:val="004B30B6"/>
    <w:rsid w:val="004B5F32"/>
    <w:rsid w:val="004C2227"/>
    <w:rsid w:val="004C3838"/>
    <w:rsid w:val="004C4856"/>
    <w:rsid w:val="004C5014"/>
    <w:rsid w:val="004C62AF"/>
    <w:rsid w:val="004C7374"/>
    <w:rsid w:val="004D5198"/>
    <w:rsid w:val="004D5B22"/>
    <w:rsid w:val="004D5C41"/>
    <w:rsid w:val="004D5EEE"/>
    <w:rsid w:val="004D788F"/>
    <w:rsid w:val="004D7A79"/>
    <w:rsid w:val="004E1357"/>
    <w:rsid w:val="004E1C5D"/>
    <w:rsid w:val="004E2549"/>
    <w:rsid w:val="004E7BDE"/>
    <w:rsid w:val="004E7CB7"/>
    <w:rsid w:val="004F05A9"/>
    <w:rsid w:val="004F0DEC"/>
    <w:rsid w:val="004F0E2E"/>
    <w:rsid w:val="004F566B"/>
    <w:rsid w:val="00501879"/>
    <w:rsid w:val="00503D11"/>
    <w:rsid w:val="005113C3"/>
    <w:rsid w:val="00512801"/>
    <w:rsid w:val="00516286"/>
    <w:rsid w:val="00520432"/>
    <w:rsid w:val="005215A7"/>
    <w:rsid w:val="00522851"/>
    <w:rsid w:val="00524929"/>
    <w:rsid w:val="00525CE9"/>
    <w:rsid w:val="0053003F"/>
    <w:rsid w:val="00531000"/>
    <w:rsid w:val="0053447D"/>
    <w:rsid w:val="00534794"/>
    <w:rsid w:val="0054180D"/>
    <w:rsid w:val="00542131"/>
    <w:rsid w:val="00542409"/>
    <w:rsid w:val="00544DB7"/>
    <w:rsid w:val="00545994"/>
    <w:rsid w:val="00550AED"/>
    <w:rsid w:val="00551274"/>
    <w:rsid w:val="00553E0C"/>
    <w:rsid w:val="00554D30"/>
    <w:rsid w:val="005550DA"/>
    <w:rsid w:val="00556165"/>
    <w:rsid w:val="00556C39"/>
    <w:rsid w:val="00557E77"/>
    <w:rsid w:val="0056135A"/>
    <w:rsid w:val="005639F3"/>
    <w:rsid w:val="0056597D"/>
    <w:rsid w:val="00565C2A"/>
    <w:rsid w:val="00565E18"/>
    <w:rsid w:val="00572388"/>
    <w:rsid w:val="00573C2F"/>
    <w:rsid w:val="00577312"/>
    <w:rsid w:val="00592251"/>
    <w:rsid w:val="00595AAF"/>
    <w:rsid w:val="005A00A2"/>
    <w:rsid w:val="005A2907"/>
    <w:rsid w:val="005A320B"/>
    <w:rsid w:val="005A3AA1"/>
    <w:rsid w:val="005B03D9"/>
    <w:rsid w:val="005B0568"/>
    <w:rsid w:val="005B1FC4"/>
    <w:rsid w:val="005B599E"/>
    <w:rsid w:val="005B6DF4"/>
    <w:rsid w:val="005B7541"/>
    <w:rsid w:val="005C427A"/>
    <w:rsid w:val="005C7340"/>
    <w:rsid w:val="005D33FD"/>
    <w:rsid w:val="005D48AD"/>
    <w:rsid w:val="005D5409"/>
    <w:rsid w:val="005D6E00"/>
    <w:rsid w:val="005E1A9C"/>
    <w:rsid w:val="005E2EBD"/>
    <w:rsid w:val="005E3AF7"/>
    <w:rsid w:val="005E59DE"/>
    <w:rsid w:val="005E6EAF"/>
    <w:rsid w:val="005E7E67"/>
    <w:rsid w:val="005F112C"/>
    <w:rsid w:val="005F29D9"/>
    <w:rsid w:val="005F7BF7"/>
    <w:rsid w:val="006015A9"/>
    <w:rsid w:val="0060160B"/>
    <w:rsid w:val="00601E80"/>
    <w:rsid w:val="00602DDB"/>
    <w:rsid w:val="00604335"/>
    <w:rsid w:val="00604718"/>
    <w:rsid w:val="0060512A"/>
    <w:rsid w:val="006070FD"/>
    <w:rsid w:val="00607227"/>
    <w:rsid w:val="00611AD4"/>
    <w:rsid w:val="00615071"/>
    <w:rsid w:val="00617A7F"/>
    <w:rsid w:val="00620F78"/>
    <w:rsid w:val="00621C19"/>
    <w:rsid w:val="0062297A"/>
    <w:rsid w:val="00623C16"/>
    <w:rsid w:val="00627DA4"/>
    <w:rsid w:val="00631A3B"/>
    <w:rsid w:val="00631FC9"/>
    <w:rsid w:val="006347A5"/>
    <w:rsid w:val="00634AD2"/>
    <w:rsid w:val="0063712C"/>
    <w:rsid w:val="00637BC7"/>
    <w:rsid w:val="00642064"/>
    <w:rsid w:val="006503B2"/>
    <w:rsid w:val="00651BEE"/>
    <w:rsid w:val="006520EB"/>
    <w:rsid w:val="0065481C"/>
    <w:rsid w:val="006606AA"/>
    <w:rsid w:val="006629F3"/>
    <w:rsid w:val="006640A7"/>
    <w:rsid w:val="00664D96"/>
    <w:rsid w:val="00664D99"/>
    <w:rsid w:val="00664DDA"/>
    <w:rsid w:val="00666E07"/>
    <w:rsid w:val="00667688"/>
    <w:rsid w:val="00671F54"/>
    <w:rsid w:val="00675018"/>
    <w:rsid w:val="00676A56"/>
    <w:rsid w:val="0067748A"/>
    <w:rsid w:val="006813D4"/>
    <w:rsid w:val="00681F10"/>
    <w:rsid w:val="00682CD9"/>
    <w:rsid w:val="006869B1"/>
    <w:rsid w:val="00695FAB"/>
    <w:rsid w:val="00697F9E"/>
    <w:rsid w:val="006A1715"/>
    <w:rsid w:val="006A3BC7"/>
    <w:rsid w:val="006A5775"/>
    <w:rsid w:val="006B10F6"/>
    <w:rsid w:val="006B2F21"/>
    <w:rsid w:val="006B5100"/>
    <w:rsid w:val="006B53EC"/>
    <w:rsid w:val="006B73D7"/>
    <w:rsid w:val="006C2311"/>
    <w:rsid w:val="006C4F95"/>
    <w:rsid w:val="006D0849"/>
    <w:rsid w:val="006D3DE6"/>
    <w:rsid w:val="006D5A86"/>
    <w:rsid w:val="006D7D15"/>
    <w:rsid w:val="006E3C1E"/>
    <w:rsid w:val="006F17EA"/>
    <w:rsid w:val="006F5666"/>
    <w:rsid w:val="006F620E"/>
    <w:rsid w:val="00700177"/>
    <w:rsid w:val="0070022E"/>
    <w:rsid w:val="0070102F"/>
    <w:rsid w:val="007016F5"/>
    <w:rsid w:val="00703A7B"/>
    <w:rsid w:val="00703E36"/>
    <w:rsid w:val="00706194"/>
    <w:rsid w:val="00710C9E"/>
    <w:rsid w:val="00712DF2"/>
    <w:rsid w:val="007150EA"/>
    <w:rsid w:val="0071548C"/>
    <w:rsid w:val="0071688E"/>
    <w:rsid w:val="00717BE4"/>
    <w:rsid w:val="0072288D"/>
    <w:rsid w:val="00724BBE"/>
    <w:rsid w:val="00724F6B"/>
    <w:rsid w:val="007310F0"/>
    <w:rsid w:val="0073424C"/>
    <w:rsid w:val="00734C35"/>
    <w:rsid w:val="007373E6"/>
    <w:rsid w:val="0074335D"/>
    <w:rsid w:val="00747865"/>
    <w:rsid w:val="00751B39"/>
    <w:rsid w:val="007528E2"/>
    <w:rsid w:val="00753158"/>
    <w:rsid w:val="00753E59"/>
    <w:rsid w:val="00756416"/>
    <w:rsid w:val="0076029A"/>
    <w:rsid w:val="007602DF"/>
    <w:rsid w:val="00760CB9"/>
    <w:rsid w:val="00760DE5"/>
    <w:rsid w:val="00777937"/>
    <w:rsid w:val="00777C5F"/>
    <w:rsid w:val="00782C50"/>
    <w:rsid w:val="00786A82"/>
    <w:rsid w:val="00792561"/>
    <w:rsid w:val="00792D8B"/>
    <w:rsid w:val="007931AE"/>
    <w:rsid w:val="007A1980"/>
    <w:rsid w:val="007A39F4"/>
    <w:rsid w:val="007A5290"/>
    <w:rsid w:val="007A7D1E"/>
    <w:rsid w:val="007B33FD"/>
    <w:rsid w:val="007B5D7B"/>
    <w:rsid w:val="007C17C6"/>
    <w:rsid w:val="007C44EC"/>
    <w:rsid w:val="007D679B"/>
    <w:rsid w:val="007E2394"/>
    <w:rsid w:val="007E271F"/>
    <w:rsid w:val="007E66EC"/>
    <w:rsid w:val="007F1FB9"/>
    <w:rsid w:val="007F1FC2"/>
    <w:rsid w:val="007F2050"/>
    <w:rsid w:val="007F74A9"/>
    <w:rsid w:val="008007D2"/>
    <w:rsid w:val="00802ACB"/>
    <w:rsid w:val="00807C1E"/>
    <w:rsid w:val="008112EC"/>
    <w:rsid w:val="00811FAE"/>
    <w:rsid w:val="00812AF1"/>
    <w:rsid w:val="0082085A"/>
    <w:rsid w:val="00821122"/>
    <w:rsid w:val="008222A0"/>
    <w:rsid w:val="0083008D"/>
    <w:rsid w:val="0083160C"/>
    <w:rsid w:val="008337C3"/>
    <w:rsid w:val="008413F8"/>
    <w:rsid w:val="00843C9D"/>
    <w:rsid w:val="008462AB"/>
    <w:rsid w:val="00853A17"/>
    <w:rsid w:val="00856AE3"/>
    <w:rsid w:val="0086337A"/>
    <w:rsid w:val="008637AF"/>
    <w:rsid w:val="00864AF4"/>
    <w:rsid w:val="00867B51"/>
    <w:rsid w:val="00871EEA"/>
    <w:rsid w:val="00874389"/>
    <w:rsid w:val="0088357F"/>
    <w:rsid w:val="008909CC"/>
    <w:rsid w:val="00892B64"/>
    <w:rsid w:val="00894045"/>
    <w:rsid w:val="008A1234"/>
    <w:rsid w:val="008A42B4"/>
    <w:rsid w:val="008A64F4"/>
    <w:rsid w:val="008A6DCF"/>
    <w:rsid w:val="008A7834"/>
    <w:rsid w:val="008A7ADF"/>
    <w:rsid w:val="008B25CA"/>
    <w:rsid w:val="008B3A42"/>
    <w:rsid w:val="008B5EF2"/>
    <w:rsid w:val="008C1038"/>
    <w:rsid w:val="008C114A"/>
    <w:rsid w:val="008C150F"/>
    <w:rsid w:val="008C3A7C"/>
    <w:rsid w:val="008D1677"/>
    <w:rsid w:val="008D487F"/>
    <w:rsid w:val="008D6B98"/>
    <w:rsid w:val="008E19EF"/>
    <w:rsid w:val="008E25ED"/>
    <w:rsid w:val="008E67AF"/>
    <w:rsid w:val="008E7683"/>
    <w:rsid w:val="008F15A6"/>
    <w:rsid w:val="008F1629"/>
    <w:rsid w:val="008F344A"/>
    <w:rsid w:val="008F391C"/>
    <w:rsid w:val="008F3A23"/>
    <w:rsid w:val="008F4497"/>
    <w:rsid w:val="00900AA0"/>
    <w:rsid w:val="00902C38"/>
    <w:rsid w:val="009057F8"/>
    <w:rsid w:val="00905A04"/>
    <w:rsid w:val="00905C5E"/>
    <w:rsid w:val="009174CB"/>
    <w:rsid w:val="0092173D"/>
    <w:rsid w:val="00923C26"/>
    <w:rsid w:val="00932AAE"/>
    <w:rsid w:val="0093493B"/>
    <w:rsid w:val="00943F01"/>
    <w:rsid w:val="00946EC0"/>
    <w:rsid w:val="00950D32"/>
    <w:rsid w:val="00951C1E"/>
    <w:rsid w:val="00955546"/>
    <w:rsid w:val="009560DB"/>
    <w:rsid w:val="00956A80"/>
    <w:rsid w:val="00957BC4"/>
    <w:rsid w:val="00962758"/>
    <w:rsid w:val="009634A5"/>
    <w:rsid w:val="00964DCC"/>
    <w:rsid w:val="009669AA"/>
    <w:rsid w:val="00974D09"/>
    <w:rsid w:val="0097672F"/>
    <w:rsid w:val="0098008C"/>
    <w:rsid w:val="0098365A"/>
    <w:rsid w:val="009836FD"/>
    <w:rsid w:val="00983F61"/>
    <w:rsid w:val="009844AD"/>
    <w:rsid w:val="0098576B"/>
    <w:rsid w:val="00993677"/>
    <w:rsid w:val="00994E4E"/>
    <w:rsid w:val="009958FA"/>
    <w:rsid w:val="00996E1A"/>
    <w:rsid w:val="00997B12"/>
    <w:rsid w:val="009A2425"/>
    <w:rsid w:val="009A3549"/>
    <w:rsid w:val="009A5585"/>
    <w:rsid w:val="009A5B13"/>
    <w:rsid w:val="009A716E"/>
    <w:rsid w:val="009B00DA"/>
    <w:rsid w:val="009B1FCA"/>
    <w:rsid w:val="009B3AC8"/>
    <w:rsid w:val="009B4942"/>
    <w:rsid w:val="009B534D"/>
    <w:rsid w:val="009C605B"/>
    <w:rsid w:val="009D25DC"/>
    <w:rsid w:val="009D2661"/>
    <w:rsid w:val="009D37DE"/>
    <w:rsid w:val="009D5367"/>
    <w:rsid w:val="009D5538"/>
    <w:rsid w:val="009D5732"/>
    <w:rsid w:val="009E3DD4"/>
    <w:rsid w:val="009E46DC"/>
    <w:rsid w:val="009E4774"/>
    <w:rsid w:val="009E7E4A"/>
    <w:rsid w:val="009F149E"/>
    <w:rsid w:val="009F208D"/>
    <w:rsid w:val="00A04243"/>
    <w:rsid w:val="00A04E77"/>
    <w:rsid w:val="00A054B3"/>
    <w:rsid w:val="00A05523"/>
    <w:rsid w:val="00A057E9"/>
    <w:rsid w:val="00A1072B"/>
    <w:rsid w:val="00A1188F"/>
    <w:rsid w:val="00A16EA4"/>
    <w:rsid w:val="00A20573"/>
    <w:rsid w:val="00A20A84"/>
    <w:rsid w:val="00A25192"/>
    <w:rsid w:val="00A262C9"/>
    <w:rsid w:val="00A27A84"/>
    <w:rsid w:val="00A3285F"/>
    <w:rsid w:val="00A3342C"/>
    <w:rsid w:val="00A334CA"/>
    <w:rsid w:val="00A33BB7"/>
    <w:rsid w:val="00A35D46"/>
    <w:rsid w:val="00A3658C"/>
    <w:rsid w:val="00A37CB7"/>
    <w:rsid w:val="00A50BB7"/>
    <w:rsid w:val="00A50E6C"/>
    <w:rsid w:val="00A5239C"/>
    <w:rsid w:val="00A551F3"/>
    <w:rsid w:val="00A56E1E"/>
    <w:rsid w:val="00A60D45"/>
    <w:rsid w:val="00A6384F"/>
    <w:rsid w:val="00A66531"/>
    <w:rsid w:val="00A668A2"/>
    <w:rsid w:val="00A66B55"/>
    <w:rsid w:val="00A67BE8"/>
    <w:rsid w:val="00A70FFE"/>
    <w:rsid w:val="00A7292D"/>
    <w:rsid w:val="00A73DE7"/>
    <w:rsid w:val="00A77EB0"/>
    <w:rsid w:val="00A82D2D"/>
    <w:rsid w:val="00A83628"/>
    <w:rsid w:val="00A85219"/>
    <w:rsid w:val="00A93D38"/>
    <w:rsid w:val="00A9414A"/>
    <w:rsid w:val="00A949A4"/>
    <w:rsid w:val="00A95172"/>
    <w:rsid w:val="00A96168"/>
    <w:rsid w:val="00A96462"/>
    <w:rsid w:val="00AA167F"/>
    <w:rsid w:val="00AA4F25"/>
    <w:rsid w:val="00AA5D75"/>
    <w:rsid w:val="00AA6526"/>
    <w:rsid w:val="00AA68A2"/>
    <w:rsid w:val="00AB0269"/>
    <w:rsid w:val="00AB0B8C"/>
    <w:rsid w:val="00AB45E4"/>
    <w:rsid w:val="00AB534A"/>
    <w:rsid w:val="00AC61C8"/>
    <w:rsid w:val="00AC7FB3"/>
    <w:rsid w:val="00AD278A"/>
    <w:rsid w:val="00AD4039"/>
    <w:rsid w:val="00AD4D04"/>
    <w:rsid w:val="00AD4DCD"/>
    <w:rsid w:val="00AD551E"/>
    <w:rsid w:val="00AE007A"/>
    <w:rsid w:val="00AE0A59"/>
    <w:rsid w:val="00AE1691"/>
    <w:rsid w:val="00AE5C05"/>
    <w:rsid w:val="00AE5CE3"/>
    <w:rsid w:val="00AE7A2A"/>
    <w:rsid w:val="00AF219E"/>
    <w:rsid w:val="00AF40E4"/>
    <w:rsid w:val="00AF50AF"/>
    <w:rsid w:val="00B006BB"/>
    <w:rsid w:val="00B01E05"/>
    <w:rsid w:val="00B02178"/>
    <w:rsid w:val="00B03464"/>
    <w:rsid w:val="00B0359A"/>
    <w:rsid w:val="00B03B80"/>
    <w:rsid w:val="00B04609"/>
    <w:rsid w:val="00B05C67"/>
    <w:rsid w:val="00B05CF7"/>
    <w:rsid w:val="00B07F19"/>
    <w:rsid w:val="00B10B1B"/>
    <w:rsid w:val="00B13BDF"/>
    <w:rsid w:val="00B16F27"/>
    <w:rsid w:val="00B22177"/>
    <w:rsid w:val="00B25BAE"/>
    <w:rsid w:val="00B305CA"/>
    <w:rsid w:val="00B30CE8"/>
    <w:rsid w:val="00B31360"/>
    <w:rsid w:val="00B35B29"/>
    <w:rsid w:val="00B44FA2"/>
    <w:rsid w:val="00B523C7"/>
    <w:rsid w:val="00B56154"/>
    <w:rsid w:val="00B57707"/>
    <w:rsid w:val="00B6229C"/>
    <w:rsid w:val="00B66ADD"/>
    <w:rsid w:val="00B71592"/>
    <w:rsid w:val="00B75153"/>
    <w:rsid w:val="00B80022"/>
    <w:rsid w:val="00B800B6"/>
    <w:rsid w:val="00B84BE0"/>
    <w:rsid w:val="00B94188"/>
    <w:rsid w:val="00B94C75"/>
    <w:rsid w:val="00BA5241"/>
    <w:rsid w:val="00BA6F87"/>
    <w:rsid w:val="00BB553D"/>
    <w:rsid w:val="00BB55A7"/>
    <w:rsid w:val="00BB6693"/>
    <w:rsid w:val="00BB7D77"/>
    <w:rsid w:val="00BC04F9"/>
    <w:rsid w:val="00BC0BCD"/>
    <w:rsid w:val="00BC6381"/>
    <w:rsid w:val="00BC7349"/>
    <w:rsid w:val="00BD358B"/>
    <w:rsid w:val="00BD3942"/>
    <w:rsid w:val="00BD53D1"/>
    <w:rsid w:val="00BD5670"/>
    <w:rsid w:val="00BE0744"/>
    <w:rsid w:val="00BE3986"/>
    <w:rsid w:val="00BF1B0B"/>
    <w:rsid w:val="00BF4C75"/>
    <w:rsid w:val="00BF5D20"/>
    <w:rsid w:val="00BF7773"/>
    <w:rsid w:val="00C0165B"/>
    <w:rsid w:val="00C118E6"/>
    <w:rsid w:val="00C12076"/>
    <w:rsid w:val="00C12F26"/>
    <w:rsid w:val="00C14857"/>
    <w:rsid w:val="00C14A99"/>
    <w:rsid w:val="00C15E7A"/>
    <w:rsid w:val="00C22987"/>
    <w:rsid w:val="00C23389"/>
    <w:rsid w:val="00C2454C"/>
    <w:rsid w:val="00C24D1E"/>
    <w:rsid w:val="00C25896"/>
    <w:rsid w:val="00C26335"/>
    <w:rsid w:val="00C33F75"/>
    <w:rsid w:val="00C33FD9"/>
    <w:rsid w:val="00C34095"/>
    <w:rsid w:val="00C35701"/>
    <w:rsid w:val="00C4117C"/>
    <w:rsid w:val="00C43987"/>
    <w:rsid w:val="00C44D75"/>
    <w:rsid w:val="00C46173"/>
    <w:rsid w:val="00C468B5"/>
    <w:rsid w:val="00C50437"/>
    <w:rsid w:val="00C50516"/>
    <w:rsid w:val="00C54DCA"/>
    <w:rsid w:val="00C56CCC"/>
    <w:rsid w:val="00C577DE"/>
    <w:rsid w:val="00C60356"/>
    <w:rsid w:val="00C64DCB"/>
    <w:rsid w:val="00C668DD"/>
    <w:rsid w:val="00C66BF0"/>
    <w:rsid w:val="00C674AC"/>
    <w:rsid w:val="00C7084D"/>
    <w:rsid w:val="00C71B32"/>
    <w:rsid w:val="00C72B5E"/>
    <w:rsid w:val="00C74144"/>
    <w:rsid w:val="00C7528F"/>
    <w:rsid w:val="00C8011E"/>
    <w:rsid w:val="00C8261D"/>
    <w:rsid w:val="00C83056"/>
    <w:rsid w:val="00C90DC0"/>
    <w:rsid w:val="00C91D4B"/>
    <w:rsid w:val="00C95363"/>
    <w:rsid w:val="00CA3C28"/>
    <w:rsid w:val="00CA5452"/>
    <w:rsid w:val="00CB1F38"/>
    <w:rsid w:val="00CB3F37"/>
    <w:rsid w:val="00CB5C28"/>
    <w:rsid w:val="00CB6CD8"/>
    <w:rsid w:val="00CC60C9"/>
    <w:rsid w:val="00CC7A81"/>
    <w:rsid w:val="00CD0241"/>
    <w:rsid w:val="00CD0496"/>
    <w:rsid w:val="00CE0B2D"/>
    <w:rsid w:val="00CE1250"/>
    <w:rsid w:val="00CE2C65"/>
    <w:rsid w:val="00CF1E89"/>
    <w:rsid w:val="00CF71D5"/>
    <w:rsid w:val="00D012D9"/>
    <w:rsid w:val="00D022A9"/>
    <w:rsid w:val="00D031B5"/>
    <w:rsid w:val="00D10036"/>
    <w:rsid w:val="00D1057A"/>
    <w:rsid w:val="00D10E67"/>
    <w:rsid w:val="00D12B56"/>
    <w:rsid w:val="00D141DD"/>
    <w:rsid w:val="00D15371"/>
    <w:rsid w:val="00D171F7"/>
    <w:rsid w:val="00D17883"/>
    <w:rsid w:val="00D20A3E"/>
    <w:rsid w:val="00D2130A"/>
    <w:rsid w:val="00D215A0"/>
    <w:rsid w:val="00D227CE"/>
    <w:rsid w:val="00D32523"/>
    <w:rsid w:val="00D34E2D"/>
    <w:rsid w:val="00D365C8"/>
    <w:rsid w:val="00D42666"/>
    <w:rsid w:val="00D43053"/>
    <w:rsid w:val="00D470EB"/>
    <w:rsid w:val="00D47DAC"/>
    <w:rsid w:val="00D53592"/>
    <w:rsid w:val="00D53D12"/>
    <w:rsid w:val="00D60F97"/>
    <w:rsid w:val="00D672C8"/>
    <w:rsid w:val="00D67831"/>
    <w:rsid w:val="00D71BEC"/>
    <w:rsid w:val="00D742C0"/>
    <w:rsid w:val="00D8354F"/>
    <w:rsid w:val="00D8376F"/>
    <w:rsid w:val="00D84CC4"/>
    <w:rsid w:val="00D86725"/>
    <w:rsid w:val="00D912F5"/>
    <w:rsid w:val="00D923F9"/>
    <w:rsid w:val="00D92825"/>
    <w:rsid w:val="00D95ABB"/>
    <w:rsid w:val="00D95D18"/>
    <w:rsid w:val="00DA0A23"/>
    <w:rsid w:val="00DA1541"/>
    <w:rsid w:val="00DA50CE"/>
    <w:rsid w:val="00DB2C7A"/>
    <w:rsid w:val="00DB33C3"/>
    <w:rsid w:val="00DB5395"/>
    <w:rsid w:val="00DB5EA3"/>
    <w:rsid w:val="00DB6842"/>
    <w:rsid w:val="00DC0168"/>
    <w:rsid w:val="00DC0A4D"/>
    <w:rsid w:val="00DC5976"/>
    <w:rsid w:val="00DC74F5"/>
    <w:rsid w:val="00DE14A0"/>
    <w:rsid w:val="00DE161F"/>
    <w:rsid w:val="00DE22B5"/>
    <w:rsid w:val="00DE42AF"/>
    <w:rsid w:val="00DF04FF"/>
    <w:rsid w:val="00DF2CD4"/>
    <w:rsid w:val="00DF7151"/>
    <w:rsid w:val="00DF726F"/>
    <w:rsid w:val="00DF72EC"/>
    <w:rsid w:val="00E022AE"/>
    <w:rsid w:val="00E03576"/>
    <w:rsid w:val="00E04282"/>
    <w:rsid w:val="00E04E2E"/>
    <w:rsid w:val="00E06C6C"/>
    <w:rsid w:val="00E12A61"/>
    <w:rsid w:val="00E1531D"/>
    <w:rsid w:val="00E15728"/>
    <w:rsid w:val="00E203DD"/>
    <w:rsid w:val="00E235D8"/>
    <w:rsid w:val="00E25038"/>
    <w:rsid w:val="00E27437"/>
    <w:rsid w:val="00E339DF"/>
    <w:rsid w:val="00E33BA9"/>
    <w:rsid w:val="00E43B04"/>
    <w:rsid w:val="00E451AA"/>
    <w:rsid w:val="00E456F0"/>
    <w:rsid w:val="00E45B8B"/>
    <w:rsid w:val="00E53280"/>
    <w:rsid w:val="00E53372"/>
    <w:rsid w:val="00E5669B"/>
    <w:rsid w:val="00E607BE"/>
    <w:rsid w:val="00E61668"/>
    <w:rsid w:val="00E62FE8"/>
    <w:rsid w:val="00E72093"/>
    <w:rsid w:val="00E752C7"/>
    <w:rsid w:val="00E774D2"/>
    <w:rsid w:val="00E805B1"/>
    <w:rsid w:val="00E81B77"/>
    <w:rsid w:val="00E847D5"/>
    <w:rsid w:val="00E85278"/>
    <w:rsid w:val="00E927D1"/>
    <w:rsid w:val="00E94EDF"/>
    <w:rsid w:val="00E95C99"/>
    <w:rsid w:val="00E966EB"/>
    <w:rsid w:val="00E9756F"/>
    <w:rsid w:val="00E97EA8"/>
    <w:rsid w:val="00EA0D80"/>
    <w:rsid w:val="00EA3237"/>
    <w:rsid w:val="00EA52FF"/>
    <w:rsid w:val="00EA6A0C"/>
    <w:rsid w:val="00EB0CC2"/>
    <w:rsid w:val="00EB1087"/>
    <w:rsid w:val="00EB79D8"/>
    <w:rsid w:val="00EC0BA6"/>
    <w:rsid w:val="00EC1B1C"/>
    <w:rsid w:val="00EC7423"/>
    <w:rsid w:val="00ED1418"/>
    <w:rsid w:val="00ED48A3"/>
    <w:rsid w:val="00ED66C2"/>
    <w:rsid w:val="00ED721A"/>
    <w:rsid w:val="00ED7277"/>
    <w:rsid w:val="00ED7AF0"/>
    <w:rsid w:val="00EE2522"/>
    <w:rsid w:val="00EE55D4"/>
    <w:rsid w:val="00EF0AA1"/>
    <w:rsid w:val="00EF4ED4"/>
    <w:rsid w:val="00EF5583"/>
    <w:rsid w:val="00EF5B30"/>
    <w:rsid w:val="00F00D3A"/>
    <w:rsid w:val="00F01508"/>
    <w:rsid w:val="00F028D2"/>
    <w:rsid w:val="00F04624"/>
    <w:rsid w:val="00F057C5"/>
    <w:rsid w:val="00F06CF5"/>
    <w:rsid w:val="00F1071A"/>
    <w:rsid w:val="00F110A7"/>
    <w:rsid w:val="00F138DA"/>
    <w:rsid w:val="00F20BCE"/>
    <w:rsid w:val="00F310DC"/>
    <w:rsid w:val="00F34092"/>
    <w:rsid w:val="00F3508C"/>
    <w:rsid w:val="00F409E9"/>
    <w:rsid w:val="00F43165"/>
    <w:rsid w:val="00F4338A"/>
    <w:rsid w:val="00F47597"/>
    <w:rsid w:val="00F54740"/>
    <w:rsid w:val="00F56464"/>
    <w:rsid w:val="00F5657C"/>
    <w:rsid w:val="00F61494"/>
    <w:rsid w:val="00F62AD4"/>
    <w:rsid w:val="00F638B6"/>
    <w:rsid w:val="00F641DC"/>
    <w:rsid w:val="00F7092F"/>
    <w:rsid w:val="00F71A50"/>
    <w:rsid w:val="00F72041"/>
    <w:rsid w:val="00F7454F"/>
    <w:rsid w:val="00F754C5"/>
    <w:rsid w:val="00F758B4"/>
    <w:rsid w:val="00F76908"/>
    <w:rsid w:val="00F847B4"/>
    <w:rsid w:val="00F84AEB"/>
    <w:rsid w:val="00F86A1F"/>
    <w:rsid w:val="00F9238F"/>
    <w:rsid w:val="00F92B06"/>
    <w:rsid w:val="00F92D4B"/>
    <w:rsid w:val="00F93038"/>
    <w:rsid w:val="00F94BE0"/>
    <w:rsid w:val="00F9741B"/>
    <w:rsid w:val="00F97574"/>
    <w:rsid w:val="00F977FA"/>
    <w:rsid w:val="00FA13EC"/>
    <w:rsid w:val="00FA1D96"/>
    <w:rsid w:val="00FA5C75"/>
    <w:rsid w:val="00FB1354"/>
    <w:rsid w:val="00FB17F4"/>
    <w:rsid w:val="00FB2419"/>
    <w:rsid w:val="00FB48E2"/>
    <w:rsid w:val="00FB5A3B"/>
    <w:rsid w:val="00FC4185"/>
    <w:rsid w:val="00FC4510"/>
    <w:rsid w:val="00FC463B"/>
    <w:rsid w:val="00FC5DE1"/>
    <w:rsid w:val="00FC67FC"/>
    <w:rsid w:val="00FC76D8"/>
    <w:rsid w:val="00FD0F03"/>
    <w:rsid w:val="00FD20C0"/>
    <w:rsid w:val="00FD26E0"/>
    <w:rsid w:val="00FD3358"/>
    <w:rsid w:val="00FD5CA4"/>
    <w:rsid w:val="00FD606A"/>
    <w:rsid w:val="00FE7B46"/>
    <w:rsid w:val="00FF786E"/>
    <w:rsid w:val="00FF78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144F1A72"/>
  <w15:docId w15:val="{5E6C9566-37B3-4DEC-972C-0D3FA3A61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4A"/>
    <w:rPr>
      <w:sz w:val="24"/>
      <w:szCs w:val="24"/>
      <w:lang w:eastAsia="en-US"/>
    </w:rPr>
  </w:style>
  <w:style w:type="paragraph" w:styleId="Heading1">
    <w:name w:val="heading 1"/>
    <w:basedOn w:val="Normal"/>
    <w:next w:val="Normal"/>
    <w:link w:val="Heading1Char"/>
    <w:qFormat/>
    <w:rsid w:val="008C114A"/>
    <w:pPr>
      <w:keepNext/>
      <w:jc w:val="center"/>
      <w:outlineLvl w:val="0"/>
    </w:pPr>
    <w:rPr>
      <w:rFonts w:ascii="RimTimes" w:hAnsi="RimTimes"/>
      <w:b/>
      <w:sz w:val="28"/>
      <w:szCs w:val="20"/>
    </w:rPr>
  </w:style>
  <w:style w:type="paragraph" w:styleId="Heading2">
    <w:name w:val="heading 2"/>
    <w:basedOn w:val="Normal"/>
    <w:next w:val="Normal"/>
    <w:link w:val="Heading2Char"/>
    <w:uiPriority w:val="99"/>
    <w:unhideWhenUsed/>
    <w:qFormat/>
    <w:rsid w:val="000550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C4F31"/>
    <w:pPr>
      <w:keepNext/>
      <w:tabs>
        <w:tab w:val="num" w:pos="720"/>
      </w:tabs>
      <w:spacing w:before="240" w:after="60"/>
      <w:ind w:left="720" w:hanging="720"/>
      <w:outlineLvl w:val="2"/>
    </w:pPr>
    <w:rPr>
      <w:b/>
      <w:bCs/>
      <w:sz w:val="26"/>
      <w:szCs w:val="26"/>
      <w:lang w:val="en-GB"/>
    </w:rPr>
  </w:style>
  <w:style w:type="paragraph" w:styleId="Heading4">
    <w:name w:val="heading 4"/>
    <w:basedOn w:val="Normal"/>
    <w:next w:val="Normal"/>
    <w:link w:val="Heading4Char"/>
    <w:uiPriority w:val="99"/>
    <w:qFormat/>
    <w:rsid w:val="002C4F31"/>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2C4F31"/>
    <w:pPr>
      <w:tabs>
        <w:tab w:val="num" w:pos="1008"/>
      </w:tabs>
      <w:spacing w:before="240" w:after="60"/>
      <w:ind w:left="1008" w:hanging="1008"/>
      <w:outlineLvl w:val="4"/>
    </w:pPr>
    <w:rPr>
      <w:b/>
      <w:bCs/>
      <w:i/>
      <w:iCs/>
      <w:sz w:val="26"/>
      <w:szCs w:val="26"/>
      <w:lang w:val="en-GB"/>
    </w:rPr>
  </w:style>
  <w:style w:type="paragraph" w:styleId="Heading6">
    <w:name w:val="heading 6"/>
    <w:basedOn w:val="Normal"/>
    <w:next w:val="Normal"/>
    <w:link w:val="Heading6Char"/>
    <w:uiPriority w:val="99"/>
    <w:qFormat/>
    <w:rsid w:val="002C4F31"/>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2C4F31"/>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2C4F31"/>
    <w:pPr>
      <w:tabs>
        <w:tab w:val="num" w:pos="1440"/>
      </w:tabs>
      <w:spacing w:before="240" w:after="60"/>
      <w:ind w:left="1440" w:hanging="1440"/>
      <w:outlineLvl w:val="7"/>
    </w:pPr>
    <w:rPr>
      <w:i/>
      <w:iCs/>
      <w:lang w:val="en-GB"/>
    </w:rPr>
  </w:style>
  <w:style w:type="paragraph" w:styleId="Heading9">
    <w:name w:val="heading 9"/>
    <w:basedOn w:val="Normal"/>
    <w:next w:val="Normal"/>
    <w:link w:val="Heading9Char"/>
    <w:uiPriority w:val="99"/>
    <w:qFormat/>
    <w:rsid w:val="002C4F31"/>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8C114A"/>
    <w:pPr>
      <w:ind w:firstLine="720"/>
      <w:jc w:val="both"/>
    </w:pPr>
    <w:rPr>
      <w:szCs w:val="20"/>
    </w:rPr>
  </w:style>
  <w:style w:type="character" w:styleId="PageNumber">
    <w:name w:val="page number"/>
    <w:basedOn w:val="DefaultParagraphFont"/>
    <w:rsid w:val="008C114A"/>
  </w:style>
  <w:style w:type="paragraph" w:styleId="Footer">
    <w:name w:val="footer"/>
    <w:basedOn w:val="Normal"/>
    <w:link w:val="FooterChar"/>
    <w:uiPriority w:val="99"/>
    <w:rsid w:val="008C114A"/>
    <w:pPr>
      <w:tabs>
        <w:tab w:val="center" w:pos="4320"/>
        <w:tab w:val="right" w:pos="8640"/>
      </w:tabs>
    </w:pPr>
    <w:rPr>
      <w:sz w:val="26"/>
      <w:szCs w:val="20"/>
    </w:rPr>
  </w:style>
  <w:style w:type="paragraph" w:styleId="BalloonText">
    <w:name w:val="Balloon Text"/>
    <w:basedOn w:val="Normal"/>
    <w:semiHidden/>
    <w:rsid w:val="00556165"/>
    <w:rPr>
      <w:rFonts w:ascii="Tahoma" w:hAnsi="Tahoma" w:cs="Tahoma"/>
      <w:sz w:val="16"/>
      <w:szCs w:val="16"/>
    </w:rPr>
  </w:style>
  <w:style w:type="paragraph" w:customStyle="1" w:styleId="RakstzCharCharCharCharCharCharCharCharCharCharCharCharCharCharCharCharCharCharCharCharCharCharCharCharCharCharCharCharChar">
    <w:name w:val="Rakstz. Char Char Char Char Char Char Char Char Char Char Char Char Char Char Char Char Char Char Char Char Char Char Char Char Char Char Char Char Char"/>
    <w:basedOn w:val="Normal"/>
    <w:rsid w:val="00492062"/>
    <w:pPr>
      <w:spacing w:before="40"/>
    </w:pPr>
    <w:rPr>
      <w:sz w:val="20"/>
      <w:szCs w:val="20"/>
      <w:lang w:val="pl-PL" w:eastAsia="pl-PL"/>
    </w:rPr>
  </w:style>
  <w:style w:type="character" w:styleId="CommentReference">
    <w:name w:val="annotation reference"/>
    <w:uiPriority w:val="99"/>
    <w:rsid w:val="00194275"/>
    <w:rPr>
      <w:sz w:val="16"/>
      <w:szCs w:val="16"/>
    </w:rPr>
  </w:style>
  <w:style w:type="paragraph" w:styleId="CommentText">
    <w:name w:val="annotation text"/>
    <w:basedOn w:val="Normal"/>
    <w:link w:val="CommentTextChar"/>
    <w:uiPriority w:val="99"/>
    <w:rsid w:val="00194275"/>
    <w:rPr>
      <w:sz w:val="20"/>
      <w:szCs w:val="20"/>
    </w:rPr>
  </w:style>
  <w:style w:type="paragraph" w:styleId="CommentSubject">
    <w:name w:val="annotation subject"/>
    <w:basedOn w:val="CommentText"/>
    <w:next w:val="CommentText"/>
    <w:link w:val="CommentSubjectChar"/>
    <w:uiPriority w:val="99"/>
    <w:semiHidden/>
    <w:rsid w:val="00194275"/>
    <w:rPr>
      <w:b/>
      <w:bCs/>
    </w:rPr>
  </w:style>
  <w:style w:type="paragraph" w:customStyle="1" w:styleId="Rakstz">
    <w:name w:val="Rakstz."/>
    <w:basedOn w:val="Normal"/>
    <w:rsid w:val="00A93D38"/>
    <w:pPr>
      <w:spacing w:before="40"/>
    </w:pPr>
    <w:rPr>
      <w:sz w:val="20"/>
      <w:szCs w:val="20"/>
      <w:lang w:val="pl-PL" w:eastAsia="pl-PL"/>
    </w:rPr>
  </w:style>
  <w:style w:type="paragraph" w:styleId="Header">
    <w:name w:val="header"/>
    <w:basedOn w:val="Normal"/>
    <w:link w:val="HeaderChar"/>
    <w:uiPriority w:val="99"/>
    <w:rsid w:val="00782C50"/>
    <w:pPr>
      <w:tabs>
        <w:tab w:val="center" w:pos="4153"/>
        <w:tab w:val="right" w:pos="8306"/>
      </w:tabs>
    </w:pPr>
  </w:style>
  <w:style w:type="paragraph" w:customStyle="1" w:styleId="Char">
    <w:name w:val="Char"/>
    <w:basedOn w:val="Normal"/>
    <w:rsid w:val="00DF2CD4"/>
    <w:pPr>
      <w:spacing w:after="160" w:line="240" w:lineRule="exact"/>
    </w:pPr>
    <w:rPr>
      <w:rFonts w:ascii="Tahoma" w:hAnsi="Tahoma"/>
      <w:sz w:val="20"/>
      <w:szCs w:val="20"/>
      <w:lang w:val="en-US"/>
    </w:rPr>
  </w:style>
  <w:style w:type="character" w:styleId="Hyperlink">
    <w:name w:val="Hyperlink"/>
    <w:rsid w:val="00807C1E"/>
    <w:rPr>
      <w:color w:val="0000FF"/>
      <w:u w:val="single"/>
    </w:rPr>
  </w:style>
  <w:style w:type="paragraph" w:customStyle="1" w:styleId="RakstzCharCharCharCharCharCharCharCharChar">
    <w:name w:val="Rakstz. Char Char Char Char Char Char Char Char Char"/>
    <w:basedOn w:val="Normal"/>
    <w:rsid w:val="00F76908"/>
    <w:pPr>
      <w:spacing w:before="40"/>
    </w:pPr>
    <w:rPr>
      <w:sz w:val="20"/>
      <w:szCs w:val="20"/>
      <w:lang w:val="pl-PL" w:eastAsia="pl-PL"/>
    </w:rPr>
  </w:style>
  <w:style w:type="paragraph" w:customStyle="1" w:styleId="RakstzCharCharCharCharCharCharCharCharCharCharCharCharCharCharCharCharCharCharCharCharChar">
    <w:name w:val="Rakstz. Char Char Char Char Char Char Char Char Char Char Char Char Char Char Char Char Char Char Char Char Char"/>
    <w:basedOn w:val="Normal"/>
    <w:rsid w:val="00ED48A3"/>
    <w:pPr>
      <w:spacing w:before="40"/>
    </w:pPr>
    <w:rPr>
      <w:sz w:val="20"/>
      <w:szCs w:val="20"/>
      <w:lang w:val="pl-PL" w:eastAsia="pl-PL"/>
    </w:rPr>
  </w:style>
  <w:style w:type="paragraph" w:customStyle="1" w:styleId="CharCharChar">
    <w:name w:val="Char Char Char"/>
    <w:basedOn w:val="Normal"/>
    <w:rsid w:val="00BA5241"/>
    <w:pPr>
      <w:spacing w:after="160" w:line="240" w:lineRule="exact"/>
    </w:pPr>
    <w:rPr>
      <w:rFonts w:ascii="Tahoma" w:hAnsi="Tahoma"/>
      <w:sz w:val="20"/>
      <w:szCs w:val="20"/>
      <w:lang w:val="en-US"/>
    </w:rPr>
  </w:style>
  <w:style w:type="paragraph" w:customStyle="1" w:styleId="RakstzCharCharCharCharCharCharCharCharCharCharCharCharCharCharCharCharCharCharCharCharCharCharChar">
    <w:name w:val="Rakstz. Char Char Char Char Char Char Char Char Char Char Char Char Char Char Char Char Char Char Char Char Char Char Char"/>
    <w:basedOn w:val="Normal"/>
    <w:rsid w:val="00932AAE"/>
    <w:pPr>
      <w:spacing w:before="40"/>
    </w:pPr>
    <w:rPr>
      <w:sz w:val="20"/>
      <w:szCs w:val="20"/>
      <w:lang w:val="pl-PL" w:eastAsia="pl-PL"/>
    </w:rPr>
  </w:style>
  <w:style w:type="character" w:customStyle="1" w:styleId="Heading1Char">
    <w:name w:val="Heading 1 Char"/>
    <w:link w:val="Heading1"/>
    <w:rsid w:val="0063712C"/>
    <w:rPr>
      <w:rFonts w:ascii="RimTimes" w:hAnsi="RimTimes"/>
      <w:b/>
      <w:sz w:val="28"/>
      <w:lang w:val="lv-LV"/>
    </w:rPr>
  </w:style>
  <w:style w:type="character" w:styleId="FollowedHyperlink">
    <w:name w:val="FollowedHyperlink"/>
    <w:basedOn w:val="DefaultParagraphFont"/>
    <w:uiPriority w:val="99"/>
    <w:semiHidden/>
    <w:unhideWhenUsed/>
    <w:rsid w:val="004C5014"/>
    <w:rPr>
      <w:color w:val="800080"/>
      <w:u w:val="single"/>
    </w:rPr>
  </w:style>
  <w:style w:type="paragraph" w:styleId="Title">
    <w:name w:val="Title"/>
    <w:basedOn w:val="Normal"/>
    <w:link w:val="TitleChar"/>
    <w:qFormat/>
    <w:rsid w:val="00163F6A"/>
    <w:pPr>
      <w:jc w:val="center"/>
    </w:pPr>
    <w:rPr>
      <w:b/>
      <w:sz w:val="28"/>
      <w:szCs w:val="20"/>
    </w:rPr>
  </w:style>
  <w:style w:type="character" w:customStyle="1" w:styleId="TitleChar">
    <w:name w:val="Title Char"/>
    <w:basedOn w:val="DefaultParagraphFont"/>
    <w:link w:val="Title"/>
    <w:rsid w:val="00163F6A"/>
    <w:rPr>
      <w:b/>
      <w:sz w:val="28"/>
    </w:rPr>
  </w:style>
  <w:style w:type="character" w:customStyle="1" w:styleId="Heading2Char">
    <w:name w:val="Heading 2 Char"/>
    <w:basedOn w:val="DefaultParagraphFont"/>
    <w:link w:val="Heading2"/>
    <w:uiPriority w:val="9"/>
    <w:semiHidden/>
    <w:rsid w:val="0005508D"/>
    <w:rPr>
      <w:rFonts w:ascii="Cambria" w:eastAsia="Times New Roman" w:hAnsi="Cambria" w:cs="Times New Roman"/>
      <w:b/>
      <w:bCs/>
      <w:i/>
      <w:iCs/>
      <w:sz w:val="28"/>
      <w:szCs w:val="28"/>
      <w:lang w:val="lv-LV"/>
    </w:rPr>
  </w:style>
  <w:style w:type="paragraph" w:styleId="BodyTextIndent">
    <w:name w:val="Body Text Indent"/>
    <w:basedOn w:val="Normal"/>
    <w:link w:val="BodyTextIndentChar"/>
    <w:uiPriority w:val="99"/>
    <w:semiHidden/>
    <w:unhideWhenUsed/>
    <w:rsid w:val="0005508D"/>
    <w:pPr>
      <w:spacing w:after="120"/>
      <w:ind w:left="283"/>
    </w:pPr>
  </w:style>
  <w:style w:type="character" w:customStyle="1" w:styleId="BodyTextIndentChar">
    <w:name w:val="Body Text Indent Char"/>
    <w:basedOn w:val="DefaultParagraphFont"/>
    <w:link w:val="BodyTextIndent"/>
    <w:uiPriority w:val="99"/>
    <w:semiHidden/>
    <w:rsid w:val="0005508D"/>
    <w:rPr>
      <w:sz w:val="24"/>
      <w:szCs w:val="24"/>
      <w:lang w:val="lv-LV"/>
    </w:rPr>
  </w:style>
  <w:style w:type="paragraph" w:styleId="BlockText">
    <w:name w:val="Block Text"/>
    <w:basedOn w:val="Normal"/>
    <w:rsid w:val="0005508D"/>
    <w:pPr>
      <w:widowControl w:val="0"/>
      <w:ind w:left="240" w:right="2600" w:firstLine="469"/>
      <w:jc w:val="both"/>
    </w:pPr>
    <w:rPr>
      <w:snapToGrid w:val="0"/>
      <w:sz w:val="22"/>
      <w:szCs w:val="20"/>
    </w:rPr>
  </w:style>
  <w:style w:type="paragraph" w:styleId="NormalWeb">
    <w:name w:val="Normal (Web)"/>
    <w:basedOn w:val="Normal"/>
    <w:rsid w:val="0005508D"/>
    <w:pPr>
      <w:spacing w:before="100" w:after="100"/>
    </w:pPr>
    <w:rPr>
      <w:rFonts w:ascii="Arial Unicode MS" w:eastAsia="Arial Unicode MS" w:hAnsi="Arial Unicode MS"/>
      <w:color w:val="808000"/>
      <w:szCs w:val="20"/>
      <w:lang w:val="en-US"/>
    </w:rPr>
  </w:style>
  <w:style w:type="paragraph" w:styleId="Subtitle">
    <w:name w:val="Subtitle"/>
    <w:basedOn w:val="Normal"/>
    <w:link w:val="SubtitleChar"/>
    <w:qFormat/>
    <w:rsid w:val="0005508D"/>
    <w:pPr>
      <w:jc w:val="center"/>
    </w:pPr>
    <w:rPr>
      <w:i/>
      <w:szCs w:val="20"/>
    </w:rPr>
  </w:style>
  <w:style w:type="character" w:customStyle="1" w:styleId="SubtitleChar">
    <w:name w:val="Subtitle Char"/>
    <w:basedOn w:val="DefaultParagraphFont"/>
    <w:link w:val="Subtitle"/>
    <w:rsid w:val="0005508D"/>
    <w:rPr>
      <w:i/>
      <w:sz w:val="24"/>
      <w:lang w:val="lv-LV"/>
    </w:rPr>
  </w:style>
  <w:style w:type="paragraph" w:styleId="BodyText">
    <w:name w:val="Body Text"/>
    <w:basedOn w:val="Normal"/>
    <w:link w:val="BodyTextChar"/>
    <w:rsid w:val="00B80022"/>
    <w:pPr>
      <w:overflowPunct w:val="0"/>
      <w:autoSpaceDE w:val="0"/>
      <w:autoSpaceDN w:val="0"/>
      <w:adjustRightInd w:val="0"/>
      <w:spacing w:after="120"/>
      <w:textAlignment w:val="baseline"/>
    </w:pPr>
    <w:rPr>
      <w:sz w:val="20"/>
      <w:szCs w:val="20"/>
      <w:lang w:val="en-GB" w:eastAsia="lv-LV"/>
    </w:rPr>
  </w:style>
  <w:style w:type="character" w:customStyle="1" w:styleId="BodyTextChar">
    <w:name w:val="Body Text Char"/>
    <w:basedOn w:val="DefaultParagraphFont"/>
    <w:link w:val="BodyText"/>
    <w:rsid w:val="00B80022"/>
    <w:rPr>
      <w:lang w:val="en-GB" w:eastAsia="lv-LV"/>
    </w:rPr>
  </w:style>
  <w:style w:type="character" w:customStyle="1" w:styleId="Heading3Char">
    <w:name w:val="Heading 3 Char"/>
    <w:basedOn w:val="DefaultParagraphFont"/>
    <w:link w:val="Heading3"/>
    <w:uiPriority w:val="99"/>
    <w:rsid w:val="002C4F31"/>
    <w:rPr>
      <w:b/>
      <w:bCs/>
      <w:sz w:val="26"/>
      <w:szCs w:val="26"/>
      <w:lang w:val="en-GB"/>
    </w:rPr>
  </w:style>
  <w:style w:type="character" w:customStyle="1" w:styleId="Heading4Char">
    <w:name w:val="Heading 4 Char"/>
    <w:basedOn w:val="DefaultParagraphFont"/>
    <w:link w:val="Heading4"/>
    <w:uiPriority w:val="99"/>
    <w:rsid w:val="002C4F31"/>
    <w:rPr>
      <w:b/>
      <w:bCs/>
      <w:sz w:val="28"/>
      <w:szCs w:val="28"/>
      <w:lang w:val="en-GB"/>
    </w:rPr>
  </w:style>
  <w:style w:type="character" w:customStyle="1" w:styleId="Heading5Char">
    <w:name w:val="Heading 5 Char"/>
    <w:basedOn w:val="DefaultParagraphFont"/>
    <w:link w:val="Heading5"/>
    <w:uiPriority w:val="99"/>
    <w:rsid w:val="002C4F31"/>
    <w:rPr>
      <w:b/>
      <w:bCs/>
      <w:i/>
      <w:iCs/>
      <w:sz w:val="26"/>
      <w:szCs w:val="26"/>
      <w:lang w:val="en-GB"/>
    </w:rPr>
  </w:style>
  <w:style w:type="character" w:customStyle="1" w:styleId="Heading6Char">
    <w:name w:val="Heading 6 Char"/>
    <w:basedOn w:val="DefaultParagraphFont"/>
    <w:link w:val="Heading6"/>
    <w:uiPriority w:val="99"/>
    <w:rsid w:val="002C4F31"/>
    <w:rPr>
      <w:b/>
      <w:bCs/>
      <w:lang w:val="en-GB"/>
    </w:rPr>
  </w:style>
  <w:style w:type="character" w:customStyle="1" w:styleId="Heading7Char">
    <w:name w:val="Heading 7 Char"/>
    <w:basedOn w:val="DefaultParagraphFont"/>
    <w:link w:val="Heading7"/>
    <w:uiPriority w:val="99"/>
    <w:rsid w:val="002C4F31"/>
    <w:rPr>
      <w:sz w:val="24"/>
      <w:szCs w:val="24"/>
      <w:lang w:val="en-GB"/>
    </w:rPr>
  </w:style>
  <w:style w:type="character" w:customStyle="1" w:styleId="Heading8Char">
    <w:name w:val="Heading 8 Char"/>
    <w:basedOn w:val="DefaultParagraphFont"/>
    <w:link w:val="Heading8"/>
    <w:uiPriority w:val="99"/>
    <w:rsid w:val="002C4F31"/>
    <w:rPr>
      <w:i/>
      <w:iCs/>
      <w:sz w:val="24"/>
      <w:szCs w:val="24"/>
      <w:lang w:val="en-GB"/>
    </w:rPr>
  </w:style>
  <w:style w:type="character" w:customStyle="1" w:styleId="Heading9Char">
    <w:name w:val="Heading 9 Char"/>
    <w:basedOn w:val="DefaultParagraphFont"/>
    <w:link w:val="Heading9"/>
    <w:uiPriority w:val="99"/>
    <w:rsid w:val="002C4F31"/>
    <w:rPr>
      <w:rFonts w:ascii="Arial" w:hAnsi="Arial"/>
      <w:lang w:val="en-GB"/>
    </w:rPr>
  </w:style>
  <w:style w:type="character" w:customStyle="1" w:styleId="HeaderChar">
    <w:name w:val="Header Char"/>
    <w:basedOn w:val="DefaultParagraphFont"/>
    <w:link w:val="Header"/>
    <w:uiPriority w:val="99"/>
    <w:rsid w:val="00756416"/>
    <w:rPr>
      <w:sz w:val="24"/>
      <w:szCs w:val="24"/>
      <w:lang w:eastAsia="en-US"/>
    </w:rPr>
  </w:style>
  <w:style w:type="table" w:styleId="TableGrid">
    <w:name w:val="Table Grid"/>
    <w:basedOn w:val="TableNormal"/>
    <w:uiPriority w:val="59"/>
    <w:rsid w:val="008C1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20359"/>
    <w:rPr>
      <w:b/>
      <w:bCs/>
    </w:rPr>
  </w:style>
  <w:style w:type="paragraph" w:styleId="ListParagraph">
    <w:name w:val="List Paragraph"/>
    <w:aliases w:val="2,Virsraksti"/>
    <w:basedOn w:val="Normal"/>
    <w:link w:val="ListParagraphChar"/>
    <w:uiPriority w:val="34"/>
    <w:qFormat/>
    <w:rsid w:val="008A64F4"/>
    <w:pPr>
      <w:ind w:left="720"/>
      <w:contextualSpacing/>
    </w:pPr>
  </w:style>
  <w:style w:type="character" w:customStyle="1" w:styleId="CommentTextChar">
    <w:name w:val="Comment Text Char"/>
    <w:basedOn w:val="DefaultParagraphFont"/>
    <w:link w:val="CommentText"/>
    <w:uiPriority w:val="99"/>
    <w:rsid w:val="00C668DD"/>
    <w:rPr>
      <w:lang w:eastAsia="en-US"/>
    </w:rPr>
  </w:style>
  <w:style w:type="character" w:customStyle="1" w:styleId="CommentSubjectChar">
    <w:name w:val="Comment Subject Char"/>
    <w:basedOn w:val="CommentTextChar"/>
    <w:link w:val="CommentSubject"/>
    <w:uiPriority w:val="99"/>
    <w:semiHidden/>
    <w:rsid w:val="00C668DD"/>
    <w:rPr>
      <w:b/>
      <w:bCs/>
      <w:lang w:eastAsia="en-US"/>
    </w:rPr>
  </w:style>
  <w:style w:type="character" w:customStyle="1" w:styleId="ListParagraphChar">
    <w:name w:val="List Paragraph Char"/>
    <w:aliases w:val="2 Char,Virsraksti Char"/>
    <w:link w:val="ListParagraph"/>
    <w:uiPriority w:val="34"/>
    <w:locked/>
    <w:rsid w:val="00C668DD"/>
    <w:rPr>
      <w:sz w:val="24"/>
      <w:szCs w:val="24"/>
      <w:lang w:eastAsia="en-US"/>
    </w:rPr>
  </w:style>
  <w:style w:type="paragraph" w:styleId="Revision">
    <w:name w:val="Revision"/>
    <w:hidden/>
    <w:uiPriority w:val="99"/>
    <w:semiHidden/>
    <w:rsid w:val="00BC0BCD"/>
    <w:rPr>
      <w:sz w:val="24"/>
      <w:szCs w:val="24"/>
      <w:lang w:eastAsia="en-US"/>
    </w:rPr>
  </w:style>
  <w:style w:type="paragraph" w:styleId="FootnoteText">
    <w:name w:val="footnote text"/>
    <w:basedOn w:val="Normal"/>
    <w:link w:val="FootnoteTextChar"/>
    <w:uiPriority w:val="99"/>
    <w:unhideWhenUsed/>
    <w:rsid w:val="00B305CA"/>
    <w:rPr>
      <w:sz w:val="20"/>
      <w:szCs w:val="20"/>
    </w:rPr>
  </w:style>
  <w:style w:type="character" w:customStyle="1" w:styleId="FootnoteTextChar">
    <w:name w:val="Footnote Text Char"/>
    <w:basedOn w:val="DefaultParagraphFont"/>
    <w:link w:val="FootnoteText"/>
    <w:uiPriority w:val="99"/>
    <w:rsid w:val="00B305CA"/>
    <w:rPr>
      <w:lang w:eastAsia="en-US"/>
    </w:rPr>
  </w:style>
  <w:style w:type="character" w:styleId="FootnoteReference">
    <w:name w:val="footnote reference"/>
    <w:basedOn w:val="DefaultParagraphFont"/>
    <w:uiPriority w:val="99"/>
    <w:unhideWhenUsed/>
    <w:rsid w:val="00B305CA"/>
    <w:rPr>
      <w:vertAlign w:val="superscript"/>
    </w:rPr>
  </w:style>
  <w:style w:type="character" w:customStyle="1" w:styleId="FooterChar">
    <w:name w:val="Footer Char"/>
    <w:basedOn w:val="DefaultParagraphFont"/>
    <w:link w:val="Footer"/>
    <w:uiPriority w:val="99"/>
    <w:rsid w:val="005B03D9"/>
    <w:rPr>
      <w:sz w:val="26"/>
      <w:lang w:eastAsia="en-US"/>
    </w:rPr>
  </w:style>
  <w:style w:type="paragraph" w:customStyle="1" w:styleId="Default">
    <w:name w:val="Default"/>
    <w:rsid w:val="00AE007A"/>
    <w:pPr>
      <w:autoSpaceDE w:val="0"/>
      <w:autoSpaceDN w:val="0"/>
      <w:adjustRightInd w:val="0"/>
    </w:pPr>
    <w:rPr>
      <w:rFonts w:ascii="Cambria" w:hAnsi="Cambria" w:cs="Cambria"/>
      <w:color w:val="000000"/>
      <w:sz w:val="24"/>
      <w:szCs w:val="24"/>
    </w:rPr>
  </w:style>
  <w:style w:type="character" w:customStyle="1" w:styleId="UnresolvedMention1">
    <w:name w:val="Unresolved Mention1"/>
    <w:basedOn w:val="DefaultParagraphFont"/>
    <w:uiPriority w:val="99"/>
    <w:semiHidden/>
    <w:unhideWhenUsed/>
    <w:rsid w:val="00D8354F"/>
    <w:rPr>
      <w:color w:val="808080"/>
      <w:shd w:val="clear" w:color="auto" w:fill="E6E6E6"/>
    </w:rPr>
  </w:style>
  <w:style w:type="character" w:styleId="UnresolvedMention">
    <w:name w:val="Unresolved Mention"/>
    <w:basedOn w:val="DefaultParagraphFont"/>
    <w:uiPriority w:val="99"/>
    <w:semiHidden/>
    <w:unhideWhenUsed/>
    <w:rsid w:val="00634AD2"/>
    <w:rPr>
      <w:color w:val="605E5C"/>
      <w:shd w:val="clear" w:color="auto" w:fill="E1DFDD"/>
    </w:rPr>
  </w:style>
  <w:style w:type="paragraph" w:customStyle="1" w:styleId="tv213">
    <w:name w:val="tv213"/>
    <w:basedOn w:val="Normal"/>
    <w:rsid w:val="000D1DA0"/>
    <w:pPr>
      <w:spacing w:before="100" w:beforeAutospacing="1" w:after="100" w:afterAutospacing="1"/>
    </w:pPr>
    <w:rPr>
      <w:lang w:eastAsia="lv-LV"/>
    </w:rPr>
  </w:style>
  <w:style w:type="character" w:styleId="Emphasis">
    <w:name w:val="Emphasis"/>
    <w:basedOn w:val="DefaultParagraphFont"/>
    <w:uiPriority w:val="20"/>
    <w:qFormat/>
    <w:rsid w:val="00A27A84"/>
    <w:rPr>
      <w:i/>
      <w:iCs/>
    </w:rPr>
  </w:style>
  <w:style w:type="character" w:customStyle="1" w:styleId="BodyTextIndent3Char">
    <w:name w:val="Body Text Indent 3 Char"/>
    <w:basedOn w:val="DefaultParagraphFont"/>
    <w:link w:val="BodyTextIndent3"/>
    <w:rsid w:val="008A42B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12206">
      <w:bodyDiv w:val="1"/>
      <w:marLeft w:val="0"/>
      <w:marRight w:val="0"/>
      <w:marTop w:val="0"/>
      <w:marBottom w:val="0"/>
      <w:divBdr>
        <w:top w:val="none" w:sz="0" w:space="0" w:color="auto"/>
        <w:left w:val="none" w:sz="0" w:space="0" w:color="auto"/>
        <w:bottom w:val="none" w:sz="0" w:space="0" w:color="auto"/>
        <w:right w:val="none" w:sz="0" w:space="0" w:color="auto"/>
      </w:divBdr>
    </w:div>
    <w:div w:id="238449210">
      <w:bodyDiv w:val="1"/>
      <w:marLeft w:val="0"/>
      <w:marRight w:val="0"/>
      <w:marTop w:val="0"/>
      <w:marBottom w:val="0"/>
      <w:divBdr>
        <w:top w:val="none" w:sz="0" w:space="0" w:color="auto"/>
        <w:left w:val="none" w:sz="0" w:space="0" w:color="auto"/>
        <w:bottom w:val="none" w:sz="0" w:space="0" w:color="auto"/>
        <w:right w:val="none" w:sz="0" w:space="0" w:color="auto"/>
      </w:divBdr>
    </w:div>
    <w:div w:id="240917422">
      <w:bodyDiv w:val="1"/>
      <w:marLeft w:val="0"/>
      <w:marRight w:val="0"/>
      <w:marTop w:val="0"/>
      <w:marBottom w:val="0"/>
      <w:divBdr>
        <w:top w:val="none" w:sz="0" w:space="0" w:color="auto"/>
        <w:left w:val="none" w:sz="0" w:space="0" w:color="auto"/>
        <w:bottom w:val="none" w:sz="0" w:space="0" w:color="auto"/>
        <w:right w:val="none" w:sz="0" w:space="0" w:color="auto"/>
      </w:divBdr>
    </w:div>
    <w:div w:id="481195425">
      <w:bodyDiv w:val="1"/>
      <w:marLeft w:val="0"/>
      <w:marRight w:val="0"/>
      <w:marTop w:val="0"/>
      <w:marBottom w:val="0"/>
      <w:divBdr>
        <w:top w:val="none" w:sz="0" w:space="0" w:color="auto"/>
        <w:left w:val="none" w:sz="0" w:space="0" w:color="auto"/>
        <w:bottom w:val="none" w:sz="0" w:space="0" w:color="auto"/>
        <w:right w:val="none" w:sz="0" w:space="0" w:color="auto"/>
      </w:divBdr>
    </w:div>
    <w:div w:id="487526591">
      <w:bodyDiv w:val="1"/>
      <w:marLeft w:val="0"/>
      <w:marRight w:val="0"/>
      <w:marTop w:val="0"/>
      <w:marBottom w:val="0"/>
      <w:divBdr>
        <w:top w:val="none" w:sz="0" w:space="0" w:color="auto"/>
        <w:left w:val="none" w:sz="0" w:space="0" w:color="auto"/>
        <w:bottom w:val="none" w:sz="0" w:space="0" w:color="auto"/>
        <w:right w:val="none" w:sz="0" w:space="0" w:color="auto"/>
      </w:divBdr>
    </w:div>
    <w:div w:id="575438002">
      <w:bodyDiv w:val="1"/>
      <w:marLeft w:val="0"/>
      <w:marRight w:val="0"/>
      <w:marTop w:val="0"/>
      <w:marBottom w:val="0"/>
      <w:divBdr>
        <w:top w:val="none" w:sz="0" w:space="0" w:color="auto"/>
        <w:left w:val="none" w:sz="0" w:space="0" w:color="auto"/>
        <w:bottom w:val="none" w:sz="0" w:space="0" w:color="auto"/>
        <w:right w:val="none" w:sz="0" w:space="0" w:color="auto"/>
      </w:divBdr>
    </w:div>
    <w:div w:id="632101986">
      <w:bodyDiv w:val="1"/>
      <w:marLeft w:val="0"/>
      <w:marRight w:val="0"/>
      <w:marTop w:val="0"/>
      <w:marBottom w:val="0"/>
      <w:divBdr>
        <w:top w:val="none" w:sz="0" w:space="0" w:color="auto"/>
        <w:left w:val="none" w:sz="0" w:space="0" w:color="auto"/>
        <w:bottom w:val="none" w:sz="0" w:space="0" w:color="auto"/>
        <w:right w:val="none" w:sz="0" w:space="0" w:color="auto"/>
      </w:divBdr>
    </w:div>
    <w:div w:id="1073553503">
      <w:bodyDiv w:val="1"/>
      <w:marLeft w:val="0"/>
      <w:marRight w:val="0"/>
      <w:marTop w:val="0"/>
      <w:marBottom w:val="0"/>
      <w:divBdr>
        <w:top w:val="none" w:sz="0" w:space="0" w:color="auto"/>
        <w:left w:val="none" w:sz="0" w:space="0" w:color="auto"/>
        <w:bottom w:val="none" w:sz="0" w:space="0" w:color="auto"/>
        <w:right w:val="none" w:sz="0" w:space="0" w:color="auto"/>
      </w:divBdr>
    </w:div>
    <w:div w:id="1085303578">
      <w:bodyDiv w:val="1"/>
      <w:marLeft w:val="0"/>
      <w:marRight w:val="0"/>
      <w:marTop w:val="0"/>
      <w:marBottom w:val="0"/>
      <w:divBdr>
        <w:top w:val="none" w:sz="0" w:space="0" w:color="auto"/>
        <w:left w:val="none" w:sz="0" w:space="0" w:color="auto"/>
        <w:bottom w:val="none" w:sz="0" w:space="0" w:color="auto"/>
        <w:right w:val="none" w:sz="0" w:space="0" w:color="auto"/>
      </w:divBdr>
    </w:div>
    <w:div w:id="1152603721">
      <w:bodyDiv w:val="1"/>
      <w:marLeft w:val="0"/>
      <w:marRight w:val="0"/>
      <w:marTop w:val="0"/>
      <w:marBottom w:val="0"/>
      <w:divBdr>
        <w:top w:val="none" w:sz="0" w:space="0" w:color="auto"/>
        <w:left w:val="none" w:sz="0" w:space="0" w:color="auto"/>
        <w:bottom w:val="none" w:sz="0" w:space="0" w:color="auto"/>
        <w:right w:val="none" w:sz="0" w:space="0" w:color="auto"/>
      </w:divBdr>
    </w:div>
    <w:div w:id="1189102292">
      <w:bodyDiv w:val="1"/>
      <w:marLeft w:val="0"/>
      <w:marRight w:val="0"/>
      <w:marTop w:val="0"/>
      <w:marBottom w:val="0"/>
      <w:divBdr>
        <w:top w:val="none" w:sz="0" w:space="0" w:color="auto"/>
        <w:left w:val="none" w:sz="0" w:space="0" w:color="auto"/>
        <w:bottom w:val="none" w:sz="0" w:space="0" w:color="auto"/>
        <w:right w:val="none" w:sz="0" w:space="0" w:color="auto"/>
      </w:divBdr>
    </w:div>
    <w:div w:id="1207255094">
      <w:bodyDiv w:val="1"/>
      <w:marLeft w:val="0"/>
      <w:marRight w:val="0"/>
      <w:marTop w:val="0"/>
      <w:marBottom w:val="0"/>
      <w:divBdr>
        <w:top w:val="none" w:sz="0" w:space="0" w:color="auto"/>
        <w:left w:val="none" w:sz="0" w:space="0" w:color="auto"/>
        <w:bottom w:val="none" w:sz="0" w:space="0" w:color="auto"/>
        <w:right w:val="none" w:sz="0" w:space="0" w:color="auto"/>
      </w:divBdr>
    </w:div>
    <w:div w:id="1294336098">
      <w:bodyDiv w:val="1"/>
      <w:marLeft w:val="0"/>
      <w:marRight w:val="0"/>
      <w:marTop w:val="0"/>
      <w:marBottom w:val="0"/>
      <w:divBdr>
        <w:top w:val="none" w:sz="0" w:space="0" w:color="auto"/>
        <w:left w:val="none" w:sz="0" w:space="0" w:color="auto"/>
        <w:bottom w:val="none" w:sz="0" w:space="0" w:color="auto"/>
        <w:right w:val="none" w:sz="0" w:space="0" w:color="auto"/>
      </w:divBdr>
    </w:div>
    <w:div w:id="1452625122">
      <w:bodyDiv w:val="1"/>
      <w:marLeft w:val="0"/>
      <w:marRight w:val="0"/>
      <w:marTop w:val="0"/>
      <w:marBottom w:val="0"/>
      <w:divBdr>
        <w:top w:val="none" w:sz="0" w:space="0" w:color="auto"/>
        <w:left w:val="none" w:sz="0" w:space="0" w:color="auto"/>
        <w:bottom w:val="none" w:sz="0" w:space="0" w:color="auto"/>
        <w:right w:val="none" w:sz="0" w:space="0" w:color="auto"/>
      </w:divBdr>
    </w:div>
    <w:div w:id="1496913981">
      <w:bodyDiv w:val="1"/>
      <w:marLeft w:val="0"/>
      <w:marRight w:val="0"/>
      <w:marTop w:val="0"/>
      <w:marBottom w:val="0"/>
      <w:divBdr>
        <w:top w:val="none" w:sz="0" w:space="0" w:color="auto"/>
        <w:left w:val="none" w:sz="0" w:space="0" w:color="auto"/>
        <w:bottom w:val="none" w:sz="0" w:space="0" w:color="auto"/>
        <w:right w:val="none" w:sz="0" w:space="0" w:color="auto"/>
      </w:divBdr>
    </w:div>
    <w:div w:id="1639146947">
      <w:bodyDiv w:val="1"/>
      <w:marLeft w:val="0"/>
      <w:marRight w:val="0"/>
      <w:marTop w:val="0"/>
      <w:marBottom w:val="0"/>
      <w:divBdr>
        <w:top w:val="none" w:sz="0" w:space="0" w:color="auto"/>
        <w:left w:val="none" w:sz="0" w:space="0" w:color="auto"/>
        <w:bottom w:val="none" w:sz="0" w:space="0" w:color="auto"/>
        <w:right w:val="none" w:sz="0" w:space="0" w:color="auto"/>
      </w:divBdr>
    </w:div>
    <w:div w:id="1677491375">
      <w:bodyDiv w:val="1"/>
      <w:marLeft w:val="0"/>
      <w:marRight w:val="0"/>
      <w:marTop w:val="0"/>
      <w:marBottom w:val="0"/>
      <w:divBdr>
        <w:top w:val="none" w:sz="0" w:space="0" w:color="auto"/>
        <w:left w:val="none" w:sz="0" w:space="0" w:color="auto"/>
        <w:bottom w:val="none" w:sz="0" w:space="0" w:color="auto"/>
        <w:right w:val="none" w:sz="0" w:space="0" w:color="auto"/>
      </w:divBdr>
    </w:div>
    <w:div w:id="2052873455">
      <w:bodyDiv w:val="1"/>
      <w:marLeft w:val="0"/>
      <w:marRight w:val="0"/>
      <w:marTop w:val="0"/>
      <w:marBottom w:val="0"/>
      <w:divBdr>
        <w:top w:val="none" w:sz="0" w:space="0" w:color="auto"/>
        <w:left w:val="none" w:sz="0" w:space="0" w:color="auto"/>
        <w:bottom w:val="none" w:sz="0" w:space="0" w:color="auto"/>
        <w:right w:val="none" w:sz="0" w:space="0" w:color="auto"/>
      </w:divBdr>
    </w:div>
    <w:div w:id="206047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93402-noteikumi-par-portfelgarantijam-siko-mikro-mazo-un-videjo-saimnieciskas-darbibas-veiceju--juridisko-personu--kreditesanas-veicinasana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tum.lv/lv/par-altum/iepirkumi-un-izsoles/"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altum.lv/files/mvu_paligmaterials_v1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C2BE1-2D7F-4F0B-A02B-047CFF0BC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2955</Words>
  <Characters>21525</Characters>
  <Application>Microsoft Office Word</Application>
  <DocSecurity>0</DocSecurity>
  <Lines>179</Lines>
  <Paragraphs>48</Paragraphs>
  <ScaleCrop>false</ScaleCrop>
  <HeadingPairs>
    <vt:vector size="2" baseType="variant">
      <vt:variant>
        <vt:lpstr>Title</vt:lpstr>
      </vt:variant>
      <vt:variant>
        <vt:i4>1</vt:i4>
      </vt:variant>
    </vt:vector>
  </HeadingPairs>
  <TitlesOfParts>
    <vt:vector size="1" baseType="lpstr">
      <vt:lpstr>”APSTIPRINU”</vt:lpstr>
    </vt:vector>
  </TitlesOfParts>
  <Company>LHZB</Company>
  <LinksUpToDate>false</LinksUpToDate>
  <CharactersWithSpaces>24432</CharactersWithSpaces>
  <SharedDoc>false</SharedDoc>
  <HLinks>
    <vt:vector size="24" baseType="variant">
      <vt:variant>
        <vt:i4>7798886</vt:i4>
      </vt:variant>
      <vt:variant>
        <vt:i4>9</vt:i4>
      </vt:variant>
      <vt:variant>
        <vt:i4>0</vt:i4>
      </vt:variant>
      <vt:variant>
        <vt:i4>5</vt:i4>
      </vt:variant>
      <vt:variant>
        <vt:lpwstr>http://www.vni.lv/</vt:lpwstr>
      </vt:variant>
      <vt:variant>
        <vt:lpwstr/>
      </vt:variant>
      <vt:variant>
        <vt:i4>1048593</vt:i4>
      </vt:variant>
      <vt:variant>
        <vt:i4>6</vt:i4>
      </vt:variant>
      <vt:variant>
        <vt:i4>0</vt:i4>
      </vt:variant>
      <vt:variant>
        <vt:i4>5</vt:i4>
      </vt:variant>
      <vt:variant>
        <vt:lpwstr>http://www.altum.lv/</vt:lpwstr>
      </vt:variant>
      <vt:variant>
        <vt:lpwstr/>
      </vt:variant>
      <vt:variant>
        <vt:i4>7798886</vt:i4>
      </vt:variant>
      <vt:variant>
        <vt:i4>3</vt:i4>
      </vt:variant>
      <vt:variant>
        <vt:i4>0</vt:i4>
      </vt:variant>
      <vt:variant>
        <vt:i4>5</vt:i4>
      </vt:variant>
      <vt:variant>
        <vt:lpwstr>http://www.vni.lv/</vt:lpwstr>
      </vt:variant>
      <vt:variant>
        <vt:lpwstr/>
      </vt:variant>
      <vt:variant>
        <vt:i4>1572987</vt:i4>
      </vt:variant>
      <vt:variant>
        <vt:i4>0</vt:i4>
      </vt:variant>
      <vt:variant>
        <vt:i4>0</vt:i4>
      </vt:variant>
      <vt:variant>
        <vt:i4>5</vt:i4>
      </vt:variant>
      <vt:variant>
        <vt:lpwstr>mailto:juris.smulders@altum.lv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Aleksandrs Margevičs</dc:creator>
  <cp:lastModifiedBy>Kristīne Buholte</cp:lastModifiedBy>
  <cp:revision>3</cp:revision>
  <cp:lastPrinted>2022-04-14T10:20:00Z</cp:lastPrinted>
  <dcterms:created xsi:type="dcterms:W3CDTF">2022-05-09T07:45:00Z</dcterms:created>
  <dcterms:modified xsi:type="dcterms:W3CDTF">2022-05-09T11:27:00Z</dcterms:modified>
</cp:coreProperties>
</file>