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2F326" w14:textId="77777777" w:rsidR="0088163A" w:rsidRPr="0053009E" w:rsidRDefault="0088163A" w:rsidP="0088163A">
      <w:pPr>
        <w:pStyle w:val="ListParagraph"/>
        <w:ind w:right="-1050"/>
        <w:jc w:val="right"/>
        <w:rPr>
          <w:b/>
          <w:i/>
          <w:sz w:val="22"/>
          <w:szCs w:val="22"/>
        </w:rPr>
      </w:pPr>
      <w:r w:rsidRPr="0053009E">
        <w:rPr>
          <w:b/>
          <w:i/>
          <w:sz w:val="22"/>
          <w:szCs w:val="22"/>
        </w:rPr>
        <w:t>Pielikums Nr.1</w:t>
      </w:r>
    </w:p>
    <w:p w14:paraId="4286B0ED" w14:textId="77777777" w:rsidR="0088163A" w:rsidRPr="0053009E" w:rsidRDefault="0088163A" w:rsidP="0088163A">
      <w:pPr>
        <w:rPr>
          <w:b/>
          <w:sz w:val="16"/>
          <w:szCs w:val="16"/>
        </w:rPr>
      </w:pPr>
    </w:p>
    <w:p w14:paraId="443E4FCF" w14:textId="77777777" w:rsidR="0088163A" w:rsidRPr="0053009E" w:rsidRDefault="0088163A" w:rsidP="0088163A">
      <w:pPr>
        <w:jc w:val="center"/>
        <w:rPr>
          <w:b/>
          <w:sz w:val="22"/>
          <w:szCs w:val="22"/>
        </w:rPr>
      </w:pPr>
      <w:r w:rsidRPr="0053009E">
        <w:rPr>
          <w:b/>
          <w:sz w:val="22"/>
          <w:szCs w:val="22"/>
        </w:rPr>
        <w:t xml:space="preserve">Pieteikums studiju un studējošo kreditēšanas </w:t>
      </w:r>
      <w:proofErr w:type="spellStart"/>
      <w:r w:rsidRPr="0053009E">
        <w:rPr>
          <w:b/>
          <w:sz w:val="22"/>
          <w:szCs w:val="22"/>
        </w:rPr>
        <w:t>portfeļgarantiju</w:t>
      </w:r>
      <w:proofErr w:type="spellEnd"/>
      <w:r w:rsidRPr="0053009E">
        <w:rPr>
          <w:b/>
          <w:sz w:val="22"/>
          <w:szCs w:val="22"/>
        </w:rPr>
        <w:t xml:space="preserve"> programmai</w:t>
      </w:r>
    </w:p>
    <w:p w14:paraId="25889EA1" w14:textId="77777777" w:rsidR="0088163A" w:rsidRPr="0053009E" w:rsidRDefault="0088163A" w:rsidP="0088163A">
      <w:pPr>
        <w:pStyle w:val="ListParagraph"/>
        <w:ind w:left="0"/>
        <w:jc w:val="right"/>
        <w:rPr>
          <w:sz w:val="22"/>
          <w:szCs w:val="22"/>
        </w:rPr>
      </w:pPr>
    </w:p>
    <w:p w14:paraId="053A4595" w14:textId="77777777" w:rsidR="0088163A" w:rsidRPr="0053009E" w:rsidRDefault="0088163A" w:rsidP="0088163A">
      <w:pPr>
        <w:pStyle w:val="ListParagraph"/>
        <w:ind w:left="0" w:right="-908"/>
        <w:jc w:val="right"/>
        <w:rPr>
          <w:i/>
          <w:iCs/>
          <w:sz w:val="22"/>
          <w:szCs w:val="22"/>
        </w:rPr>
      </w:pPr>
      <w:r w:rsidRPr="0053009E">
        <w:rPr>
          <w:i/>
          <w:iCs/>
          <w:sz w:val="22"/>
          <w:szCs w:val="22"/>
        </w:rPr>
        <w:t>Datums ir skatāms laika zīmogā</w:t>
      </w:r>
    </w:p>
    <w:p w14:paraId="278C165C" w14:textId="77777777" w:rsidR="0088163A" w:rsidRPr="0053009E" w:rsidRDefault="0088163A" w:rsidP="0088163A">
      <w:pPr>
        <w:pStyle w:val="ListParagraph"/>
        <w:numPr>
          <w:ilvl w:val="0"/>
          <w:numId w:val="1"/>
        </w:numPr>
        <w:ind w:left="709" w:hanging="709"/>
        <w:jc w:val="both"/>
        <w:rPr>
          <w:b/>
          <w:sz w:val="22"/>
          <w:szCs w:val="22"/>
        </w:rPr>
      </w:pPr>
      <w:r w:rsidRPr="0053009E">
        <w:rPr>
          <w:b/>
          <w:sz w:val="22"/>
          <w:szCs w:val="22"/>
        </w:rPr>
        <w:t>Pretendents:</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2"/>
        <w:gridCol w:w="6492"/>
      </w:tblGrid>
      <w:tr w:rsidR="0088163A" w:rsidRPr="0053009E" w14:paraId="37F2688C" w14:textId="77777777" w:rsidTr="00C57059">
        <w:tc>
          <w:tcPr>
            <w:tcW w:w="2722" w:type="dxa"/>
          </w:tcPr>
          <w:p w14:paraId="444287DC" w14:textId="77777777" w:rsidR="0088163A" w:rsidRPr="0053009E" w:rsidRDefault="0088163A" w:rsidP="00C57059">
            <w:pPr>
              <w:pStyle w:val="ListParagraph"/>
              <w:tabs>
                <w:tab w:val="left" w:pos="6945"/>
              </w:tabs>
              <w:ind w:left="0"/>
              <w:jc w:val="both"/>
              <w:rPr>
                <w:sz w:val="22"/>
                <w:szCs w:val="22"/>
              </w:rPr>
            </w:pPr>
            <w:r w:rsidRPr="0053009E">
              <w:rPr>
                <w:sz w:val="22"/>
                <w:szCs w:val="22"/>
              </w:rPr>
              <w:t xml:space="preserve">Nosaukums </w:t>
            </w:r>
          </w:p>
        </w:tc>
        <w:tc>
          <w:tcPr>
            <w:tcW w:w="6492" w:type="dxa"/>
          </w:tcPr>
          <w:p w14:paraId="4762E4DA" w14:textId="77777777" w:rsidR="0088163A" w:rsidRPr="0053009E" w:rsidRDefault="0088163A" w:rsidP="00C57059">
            <w:pPr>
              <w:pStyle w:val="ListParagraph"/>
              <w:tabs>
                <w:tab w:val="left" w:pos="6945"/>
              </w:tabs>
              <w:ind w:left="0"/>
              <w:rPr>
                <w:sz w:val="22"/>
                <w:szCs w:val="22"/>
              </w:rPr>
            </w:pPr>
          </w:p>
        </w:tc>
      </w:tr>
      <w:tr w:rsidR="0088163A" w:rsidRPr="0053009E" w14:paraId="3C97DAC0" w14:textId="77777777" w:rsidTr="00C57059">
        <w:tc>
          <w:tcPr>
            <w:tcW w:w="2722" w:type="dxa"/>
          </w:tcPr>
          <w:p w14:paraId="69A1852B" w14:textId="77777777" w:rsidR="0088163A" w:rsidRPr="0053009E" w:rsidRDefault="0088163A" w:rsidP="00C57059">
            <w:pPr>
              <w:pStyle w:val="ListParagraph"/>
              <w:tabs>
                <w:tab w:val="left" w:pos="6945"/>
              </w:tabs>
              <w:ind w:left="0"/>
              <w:jc w:val="both"/>
              <w:rPr>
                <w:sz w:val="22"/>
                <w:szCs w:val="22"/>
              </w:rPr>
            </w:pPr>
            <w:r w:rsidRPr="0053009E">
              <w:rPr>
                <w:sz w:val="22"/>
                <w:szCs w:val="22"/>
              </w:rPr>
              <w:t xml:space="preserve">Reģistrācijas numurs </w:t>
            </w:r>
          </w:p>
        </w:tc>
        <w:tc>
          <w:tcPr>
            <w:tcW w:w="6492" w:type="dxa"/>
          </w:tcPr>
          <w:p w14:paraId="747EB94E" w14:textId="77777777" w:rsidR="0088163A" w:rsidRPr="0053009E" w:rsidRDefault="0088163A" w:rsidP="00C57059">
            <w:pPr>
              <w:pStyle w:val="ListParagraph"/>
              <w:tabs>
                <w:tab w:val="left" w:pos="6945"/>
              </w:tabs>
              <w:ind w:left="0"/>
              <w:rPr>
                <w:sz w:val="22"/>
                <w:szCs w:val="22"/>
              </w:rPr>
            </w:pPr>
          </w:p>
        </w:tc>
      </w:tr>
      <w:tr w:rsidR="0088163A" w:rsidRPr="0053009E" w14:paraId="6C8FD3FC" w14:textId="77777777" w:rsidTr="00C57059">
        <w:tc>
          <w:tcPr>
            <w:tcW w:w="2722" w:type="dxa"/>
          </w:tcPr>
          <w:p w14:paraId="28AFC381" w14:textId="77777777" w:rsidR="0088163A" w:rsidRPr="0053009E" w:rsidRDefault="0088163A" w:rsidP="00C57059">
            <w:pPr>
              <w:pStyle w:val="ListParagraph"/>
              <w:tabs>
                <w:tab w:val="left" w:pos="6945"/>
              </w:tabs>
              <w:ind w:left="0"/>
              <w:jc w:val="both"/>
              <w:rPr>
                <w:sz w:val="22"/>
                <w:szCs w:val="22"/>
              </w:rPr>
            </w:pPr>
            <w:r w:rsidRPr="0053009E">
              <w:rPr>
                <w:sz w:val="22"/>
                <w:szCs w:val="22"/>
              </w:rPr>
              <w:t>Reģistrācijas vieta (valsts)</w:t>
            </w:r>
          </w:p>
        </w:tc>
        <w:tc>
          <w:tcPr>
            <w:tcW w:w="6492" w:type="dxa"/>
          </w:tcPr>
          <w:p w14:paraId="79EBF7D6" w14:textId="77777777" w:rsidR="0088163A" w:rsidRPr="0053009E" w:rsidRDefault="0088163A" w:rsidP="00C57059">
            <w:pPr>
              <w:pStyle w:val="ListParagraph"/>
              <w:tabs>
                <w:tab w:val="left" w:pos="6945"/>
              </w:tabs>
              <w:ind w:left="0"/>
              <w:rPr>
                <w:sz w:val="22"/>
                <w:szCs w:val="22"/>
              </w:rPr>
            </w:pPr>
          </w:p>
        </w:tc>
      </w:tr>
      <w:tr w:rsidR="0088163A" w:rsidRPr="0053009E" w14:paraId="34DE0926" w14:textId="77777777" w:rsidTr="00C57059">
        <w:tc>
          <w:tcPr>
            <w:tcW w:w="2722" w:type="dxa"/>
          </w:tcPr>
          <w:p w14:paraId="64C46581" w14:textId="77777777" w:rsidR="0088163A" w:rsidRPr="0053009E" w:rsidRDefault="0088163A" w:rsidP="00C57059">
            <w:pPr>
              <w:pStyle w:val="ListParagraph"/>
              <w:tabs>
                <w:tab w:val="left" w:pos="6945"/>
              </w:tabs>
              <w:ind w:left="0"/>
              <w:jc w:val="both"/>
              <w:rPr>
                <w:sz w:val="22"/>
                <w:szCs w:val="22"/>
              </w:rPr>
            </w:pPr>
            <w:r w:rsidRPr="0053009E">
              <w:rPr>
                <w:sz w:val="22"/>
                <w:szCs w:val="22"/>
              </w:rPr>
              <w:t xml:space="preserve">Adrese </w:t>
            </w:r>
          </w:p>
        </w:tc>
        <w:tc>
          <w:tcPr>
            <w:tcW w:w="6492" w:type="dxa"/>
          </w:tcPr>
          <w:p w14:paraId="5D76E28C" w14:textId="77777777" w:rsidR="0088163A" w:rsidRPr="0053009E" w:rsidRDefault="0088163A" w:rsidP="00C57059">
            <w:pPr>
              <w:pStyle w:val="ListParagraph"/>
              <w:tabs>
                <w:tab w:val="left" w:pos="6945"/>
              </w:tabs>
              <w:ind w:left="0"/>
              <w:rPr>
                <w:sz w:val="22"/>
                <w:szCs w:val="22"/>
              </w:rPr>
            </w:pPr>
          </w:p>
        </w:tc>
      </w:tr>
      <w:tr w:rsidR="0088163A" w:rsidRPr="0053009E" w14:paraId="6EC254AC" w14:textId="77777777" w:rsidTr="00C57059">
        <w:tc>
          <w:tcPr>
            <w:tcW w:w="2722" w:type="dxa"/>
          </w:tcPr>
          <w:p w14:paraId="4511CD0C" w14:textId="77777777" w:rsidR="0088163A" w:rsidRPr="0053009E" w:rsidRDefault="0088163A" w:rsidP="00C57059">
            <w:pPr>
              <w:pStyle w:val="ListParagraph"/>
              <w:tabs>
                <w:tab w:val="left" w:pos="6945"/>
              </w:tabs>
              <w:ind w:left="0"/>
              <w:jc w:val="both"/>
              <w:rPr>
                <w:sz w:val="22"/>
                <w:szCs w:val="22"/>
              </w:rPr>
            </w:pPr>
            <w:r w:rsidRPr="0053009E">
              <w:rPr>
                <w:sz w:val="22"/>
                <w:szCs w:val="22"/>
              </w:rPr>
              <w:t>Tālrunis</w:t>
            </w:r>
          </w:p>
        </w:tc>
        <w:tc>
          <w:tcPr>
            <w:tcW w:w="6492" w:type="dxa"/>
          </w:tcPr>
          <w:p w14:paraId="56F421D2" w14:textId="77777777" w:rsidR="0088163A" w:rsidRPr="0053009E" w:rsidRDefault="0088163A" w:rsidP="00C57059">
            <w:pPr>
              <w:pStyle w:val="ListParagraph"/>
              <w:tabs>
                <w:tab w:val="left" w:pos="6945"/>
              </w:tabs>
              <w:ind w:left="0"/>
              <w:rPr>
                <w:sz w:val="22"/>
                <w:szCs w:val="22"/>
              </w:rPr>
            </w:pPr>
          </w:p>
        </w:tc>
      </w:tr>
      <w:tr w:rsidR="0088163A" w:rsidRPr="0053009E" w14:paraId="060CBE41" w14:textId="77777777" w:rsidTr="00C57059">
        <w:tc>
          <w:tcPr>
            <w:tcW w:w="2722" w:type="dxa"/>
          </w:tcPr>
          <w:p w14:paraId="30372D17" w14:textId="77777777" w:rsidR="0088163A" w:rsidRPr="0053009E" w:rsidRDefault="0088163A" w:rsidP="00C57059">
            <w:pPr>
              <w:pStyle w:val="ListParagraph"/>
              <w:tabs>
                <w:tab w:val="left" w:pos="6945"/>
              </w:tabs>
              <w:ind w:left="0"/>
              <w:rPr>
                <w:sz w:val="22"/>
                <w:szCs w:val="22"/>
              </w:rPr>
            </w:pPr>
            <w:r w:rsidRPr="0053009E">
              <w:rPr>
                <w:sz w:val="22"/>
                <w:szCs w:val="22"/>
              </w:rPr>
              <w:t>E-pasta adrese</w:t>
            </w:r>
          </w:p>
        </w:tc>
        <w:tc>
          <w:tcPr>
            <w:tcW w:w="6492" w:type="dxa"/>
          </w:tcPr>
          <w:p w14:paraId="4FC9A6B1" w14:textId="77777777" w:rsidR="0088163A" w:rsidRPr="0053009E" w:rsidRDefault="0088163A" w:rsidP="00C57059">
            <w:pPr>
              <w:pStyle w:val="ListParagraph"/>
              <w:tabs>
                <w:tab w:val="left" w:pos="6945"/>
              </w:tabs>
              <w:ind w:left="0"/>
              <w:rPr>
                <w:sz w:val="22"/>
                <w:szCs w:val="22"/>
              </w:rPr>
            </w:pPr>
          </w:p>
        </w:tc>
      </w:tr>
    </w:tbl>
    <w:p w14:paraId="31EB70F2" w14:textId="77777777" w:rsidR="0088163A" w:rsidRPr="0053009E" w:rsidRDefault="0088163A" w:rsidP="0088163A">
      <w:pPr>
        <w:pStyle w:val="ListParagraph"/>
        <w:tabs>
          <w:tab w:val="left" w:pos="6945"/>
        </w:tabs>
        <w:ind w:left="0"/>
        <w:rPr>
          <w:b/>
          <w:i/>
          <w:sz w:val="10"/>
          <w:szCs w:val="10"/>
        </w:rPr>
      </w:pPr>
    </w:p>
    <w:p w14:paraId="3058C9A2" w14:textId="77777777" w:rsidR="0088163A" w:rsidRPr="0053009E" w:rsidRDefault="0088163A" w:rsidP="0088163A">
      <w:pPr>
        <w:pStyle w:val="ListParagraph"/>
        <w:numPr>
          <w:ilvl w:val="0"/>
          <w:numId w:val="1"/>
        </w:numPr>
        <w:ind w:left="709" w:hanging="709"/>
        <w:jc w:val="both"/>
        <w:rPr>
          <w:b/>
          <w:sz w:val="22"/>
          <w:szCs w:val="22"/>
        </w:rPr>
      </w:pPr>
      <w:r w:rsidRPr="0053009E">
        <w:rPr>
          <w:b/>
          <w:sz w:val="22"/>
          <w:szCs w:val="22"/>
        </w:rPr>
        <w:t>Pretendenta kontaktpersona:</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9"/>
        <w:gridCol w:w="6455"/>
      </w:tblGrid>
      <w:tr w:rsidR="0088163A" w:rsidRPr="0053009E" w14:paraId="1555CD38" w14:textId="77777777" w:rsidTr="00C57059">
        <w:tc>
          <w:tcPr>
            <w:tcW w:w="2759" w:type="dxa"/>
          </w:tcPr>
          <w:p w14:paraId="593C1DE6" w14:textId="77777777" w:rsidR="0088163A" w:rsidRPr="0053009E" w:rsidRDefault="0088163A" w:rsidP="00C57059">
            <w:pPr>
              <w:pStyle w:val="ListParagraph"/>
              <w:tabs>
                <w:tab w:val="left" w:pos="6945"/>
              </w:tabs>
              <w:ind w:left="0"/>
              <w:rPr>
                <w:sz w:val="22"/>
                <w:szCs w:val="22"/>
              </w:rPr>
            </w:pPr>
            <w:r w:rsidRPr="0053009E">
              <w:rPr>
                <w:sz w:val="22"/>
                <w:szCs w:val="22"/>
              </w:rPr>
              <w:t>Vārds, Uzvārds</w:t>
            </w:r>
          </w:p>
        </w:tc>
        <w:tc>
          <w:tcPr>
            <w:tcW w:w="6455" w:type="dxa"/>
          </w:tcPr>
          <w:p w14:paraId="7253D66B" w14:textId="77777777" w:rsidR="0088163A" w:rsidRPr="0053009E" w:rsidRDefault="0088163A" w:rsidP="00C57059">
            <w:pPr>
              <w:pStyle w:val="ListParagraph"/>
              <w:tabs>
                <w:tab w:val="left" w:pos="6945"/>
              </w:tabs>
              <w:ind w:left="0"/>
              <w:rPr>
                <w:sz w:val="22"/>
                <w:szCs w:val="22"/>
              </w:rPr>
            </w:pPr>
          </w:p>
        </w:tc>
      </w:tr>
      <w:tr w:rsidR="0088163A" w:rsidRPr="0053009E" w14:paraId="39C2117D" w14:textId="77777777" w:rsidTr="00C57059">
        <w:tc>
          <w:tcPr>
            <w:tcW w:w="2759" w:type="dxa"/>
          </w:tcPr>
          <w:p w14:paraId="17AEAB0C" w14:textId="77777777" w:rsidR="0088163A" w:rsidRPr="0053009E" w:rsidRDefault="0088163A" w:rsidP="00C57059">
            <w:pPr>
              <w:pStyle w:val="ListParagraph"/>
              <w:tabs>
                <w:tab w:val="left" w:pos="6945"/>
              </w:tabs>
              <w:ind w:left="0"/>
              <w:rPr>
                <w:sz w:val="22"/>
                <w:szCs w:val="22"/>
              </w:rPr>
            </w:pPr>
            <w:r w:rsidRPr="0053009E">
              <w:rPr>
                <w:sz w:val="22"/>
                <w:szCs w:val="22"/>
              </w:rPr>
              <w:t>Ieņemamais amats</w:t>
            </w:r>
          </w:p>
        </w:tc>
        <w:tc>
          <w:tcPr>
            <w:tcW w:w="6455" w:type="dxa"/>
          </w:tcPr>
          <w:p w14:paraId="22E4ACB3" w14:textId="77777777" w:rsidR="0088163A" w:rsidRPr="0053009E" w:rsidRDefault="0088163A" w:rsidP="00C57059">
            <w:pPr>
              <w:pStyle w:val="ListParagraph"/>
              <w:tabs>
                <w:tab w:val="left" w:pos="6945"/>
              </w:tabs>
              <w:ind w:left="0"/>
              <w:rPr>
                <w:sz w:val="22"/>
                <w:szCs w:val="22"/>
              </w:rPr>
            </w:pPr>
          </w:p>
        </w:tc>
      </w:tr>
      <w:tr w:rsidR="0088163A" w:rsidRPr="0053009E" w14:paraId="38DDB8AC" w14:textId="77777777" w:rsidTr="00C57059">
        <w:tc>
          <w:tcPr>
            <w:tcW w:w="2759" w:type="dxa"/>
          </w:tcPr>
          <w:p w14:paraId="6525C6AB" w14:textId="77777777" w:rsidR="0088163A" w:rsidRPr="0053009E" w:rsidRDefault="0088163A" w:rsidP="00C57059">
            <w:pPr>
              <w:pStyle w:val="ListParagraph"/>
              <w:tabs>
                <w:tab w:val="left" w:pos="6945"/>
              </w:tabs>
              <w:ind w:left="0"/>
              <w:rPr>
                <w:sz w:val="22"/>
                <w:szCs w:val="22"/>
              </w:rPr>
            </w:pPr>
            <w:r w:rsidRPr="0053009E">
              <w:rPr>
                <w:sz w:val="22"/>
                <w:szCs w:val="22"/>
              </w:rPr>
              <w:t>Tālrunis</w:t>
            </w:r>
          </w:p>
        </w:tc>
        <w:tc>
          <w:tcPr>
            <w:tcW w:w="6455" w:type="dxa"/>
          </w:tcPr>
          <w:p w14:paraId="75437B4A" w14:textId="77777777" w:rsidR="0088163A" w:rsidRPr="0053009E" w:rsidRDefault="0088163A" w:rsidP="00C57059">
            <w:pPr>
              <w:pStyle w:val="ListParagraph"/>
              <w:tabs>
                <w:tab w:val="left" w:pos="6945"/>
              </w:tabs>
              <w:ind w:left="0"/>
              <w:rPr>
                <w:sz w:val="22"/>
                <w:szCs w:val="22"/>
              </w:rPr>
            </w:pPr>
          </w:p>
        </w:tc>
      </w:tr>
      <w:tr w:rsidR="0088163A" w:rsidRPr="0053009E" w14:paraId="330935BC" w14:textId="77777777" w:rsidTr="00C57059">
        <w:tc>
          <w:tcPr>
            <w:tcW w:w="2759" w:type="dxa"/>
          </w:tcPr>
          <w:p w14:paraId="2D0282D1" w14:textId="77777777" w:rsidR="0088163A" w:rsidRPr="0053009E" w:rsidRDefault="0088163A" w:rsidP="00C57059">
            <w:pPr>
              <w:pStyle w:val="ListParagraph"/>
              <w:tabs>
                <w:tab w:val="left" w:pos="6945"/>
              </w:tabs>
              <w:ind w:left="0"/>
              <w:rPr>
                <w:sz w:val="22"/>
                <w:szCs w:val="22"/>
              </w:rPr>
            </w:pPr>
            <w:r w:rsidRPr="0053009E">
              <w:rPr>
                <w:sz w:val="22"/>
                <w:szCs w:val="22"/>
              </w:rPr>
              <w:t>E-pasta adrese</w:t>
            </w:r>
          </w:p>
        </w:tc>
        <w:tc>
          <w:tcPr>
            <w:tcW w:w="6455" w:type="dxa"/>
          </w:tcPr>
          <w:p w14:paraId="546147B8" w14:textId="77777777" w:rsidR="0088163A" w:rsidRPr="0053009E" w:rsidRDefault="0088163A" w:rsidP="00C57059">
            <w:pPr>
              <w:pStyle w:val="ListParagraph"/>
              <w:tabs>
                <w:tab w:val="left" w:pos="6945"/>
              </w:tabs>
              <w:ind w:left="0"/>
              <w:rPr>
                <w:sz w:val="22"/>
                <w:szCs w:val="22"/>
              </w:rPr>
            </w:pPr>
          </w:p>
        </w:tc>
      </w:tr>
    </w:tbl>
    <w:p w14:paraId="035F499D" w14:textId="77777777" w:rsidR="0088163A" w:rsidRPr="0053009E" w:rsidRDefault="0088163A" w:rsidP="0088163A">
      <w:pPr>
        <w:pStyle w:val="ListParagraph"/>
        <w:ind w:left="0"/>
        <w:jc w:val="both"/>
        <w:rPr>
          <w:sz w:val="10"/>
          <w:szCs w:val="10"/>
        </w:rPr>
      </w:pPr>
    </w:p>
    <w:p w14:paraId="7997B71E" w14:textId="77777777" w:rsidR="0088163A" w:rsidRPr="0053009E" w:rsidRDefault="0088163A" w:rsidP="0088163A">
      <w:pPr>
        <w:pStyle w:val="ListParagraph"/>
        <w:ind w:left="709"/>
        <w:jc w:val="both"/>
        <w:rPr>
          <w:b/>
          <w:sz w:val="10"/>
          <w:szCs w:val="10"/>
        </w:rPr>
      </w:pPr>
    </w:p>
    <w:p w14:paraId="4C58E4BF" w14:textId="77777777" w:rsidR="0088163A" w:rsidRPr="0053009E" w:rsidRDefault="0088163A" w:rsidP="0088163A">
      <w:pPr>
        <w:pStyle w:val="ListParagraph"/>
        <w:numPr>
          <w:ilvl w:val="0"/>
          <w:numId w:val="1"/>
        </w:numPr>
        <w:ind w:left="709" w:hanging="709"/>
        <w:jc w:val="both"/>
        <w:rPr>
          <w:b/>
          <w:sz w:val="22"/>
          <w:szCs w:val="22"/>
        </w:rPr>
      </w:pPr>
      <w:r w:rsidRPr="0053009E">
        <w:rPr>
          <w:b/>
          <w:sz w:val="22"/>
          <w:szCs w:val="22"/>
        </w:rPr>
        <w:t>Pretendenta finanšu piedāvājums:</w:t>
      </w:r>
    </w:p>
    <w:tbl>
      <w:tblPr>
        <w:tblW w:w="939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3"/>
        <w:gridCol w:w="3784"/>
        <w:gridCol w:w="1075"/>
        <w:gridCol w:w="850"/>
        <w:gridCol w:w="709"/>
        <w:gridCol w:w="851"/>
        <w:gridCol w:w="708"/>
        <w:gridCol w:w="892"/>
        <w:gridCol w:w="6"/>
      </w:tblGrid>
      <w:tr w:rsidR="0088163A" w:rsidRPr="0053009E" w14:paraId="2761D02B" w14:textId="77777777" w:rsidTr="00C57059">
        <w:trPr>
          <w:trHeight w:val="300"/>
        </w:trPr>
        <w:tc>
          <w:tcPr>
            <w:tcW w:w="523" w:type="dxa"/>
            <w:shd w:val="clear" w:color="auto" w:fill="auto"/>
          </w:tcPr>
          <w:p w14:paraId="094C4E21" w14:textId="77777777" w:rsidR="0088163A" w:rsidRPr="0053009E" w:rsidRDefault="0088163A" w:rsidP="00C57059">
            <w:pPr>
              <w:keepNext/>
              <w:jc w:val="center"/>
              <w:rPr>
                <w:b/>
                <w:sz w:val="21"/>
                <w:szCs w:val="21"/>
              </w:rPr>
            </w:pPr>
            <w:r w:rsidRPr="0053009E">
              <w:rPr>
                <w:b/>
                <w:sz w:val="21"/>
                <w:szCs w:val="21"/>
              </w:rPr>
              <w:t>Nr.</w:t>
            </w:r>
          </w:p>
        </w:tc>
        <w:tc>
          <w:tcPr>
            <w:tcW w:w="4859" w:type="dxa"/>
            <w:gridSpan w:val="2"/>
            <w:shd w:val="clear" w:color="auto" w:fill="auto"/>
          </w:tcPr>
          <w:p w14:paraId="4F5DFA31" w14:textId="77777777" w:rsidR="0088163A" w:rsidRPr="0053009E" w:rsidRDefault="0088163A" w:rsidP="00C57059">
            <w:pPr>
              <w:keepNext/>
              <w:rPr>
                <w:b/>
                <w:sz w:val="21"/>
                <w:szCs w:val="21"/>
              </w:rPr>
            </w:pPr>
            <w:r w:rsidRPr="0053009E">
              <w:rPr>
                <w:b/>
                <w:sz w:val="21"/>
                <w:szCs w:val="21"/>
              </w:rPr>
              <w:t xml:space="preserve"> Piedāvājuma pozīcija</w:t>
            </w:r>
          </w:p>
        </w:tc>
        <w:tc>
          <w:tcPr>
            <w:tcW w:w="4016" w:type="dxa"/>
            <w:gridSpan w:val="6"/>
            <w:shd w:val="clear" w:color="auto" w:fill="auto"/>
          </w:tcPr>
          <w:p w14:paraId="6353F819" w14:textId="77777777" w:rsidR="0088163A" w:rsidRPr="0053009E" w:rsidRDefault="0088163A" w:rsidP="00C57059">
            <w:pPr>
              <w:keepNext/>
              <w:jc w:val="center"/>
              <w:rPr>
                <w:b/>
                <w:sz w:val="21"/>
                <w:szCs w:val="21"/>
              </w:rPr>
            </w:pPr>
            <w:r w:rsidRPr="0053009E">
              <w:rPr>
                <w:b/>
                <w:sz w:val="21"/>
                <w:szCs w:val="21"/>
              </w:rPr>
              <w:t>Pretendenta piedāvājums</w:t>
            </w:r>
          </w:p>
        </w:tc>
      </w:tr>
      <w:tr w:rsidR="0088163A" w:rsidRPr="0053009E" w14:paraId="621EB01B" w14:textId="77777777" w:rsidTr="00C57059">
        <w:trPr>
          <w:gridAfter w:val="1"/>
          <w:wAfter w:w="6" w:type="dxa"/>
          <w:trHeight w:val="300"/>
        </w:trPr>
        <w:tc>
          <w:tcPr>
            <w:tcW w:w="523" w:type="dxa"/>
            <w:shd w:val="clear" w:color="auto" w:fill="auto"/>
          </w:tcPr>
          <w:p w14:paraId="6E7BC97A" w14:textId="77777777" w:rsidR="0088163A" w:rsidRPr="0053009E" w:rsidRDefault="0088163A" w:rsidP="0088163A">
            <w:pPr>
              <w:keepNext/>
              <w:numPr>
                <w:ilvl w:val="0"/>
                <w:numId w:val="2"/>
              </w:numPr>
              <w:ind w:hanging="720"/>
              <w:jc w:val="center"/>
              <w:rPr>
                <w:sz w:val="21"/>
                <w:szCs w:val="21"/>
              </w:rPr>
            </w:pPr>
          </w:p>
        </w:tc>
        <w:tc>
          <w:tcPr>
            <w:tcW w:w="4859" w:type="dxa"/>
            <w:gridSpan w:val="2"/>
            <w:shd w:val="clear" w:color="auto" w:fill="auto"/>
          </w:tcPr>
          <w:p w14:paraId="1DED2E94" w14:textId="77777777" w:rsidR="0088163A" w:rsidRPr="0053009E" w:rsidRDefault="0088163A" w:rsidP="00C57059">
            <w:pPr>
              <w:keepNext/>
              <w:jc w:val="both"/>
              <w:rPr>
                <w:sz w:val="21"/>
                <w:szCs w:val="21"/>
              </w:rPr>
            </w:pPr>
            <w:r w:rsidRPr="0053009E">
              <w:rPr>
                <w:sz w:val="21"/>
                <w:szCs w:val="21"/>
              </w:rPr>
              <w:t>Pretendenta piedāvātā vidējā finanšu pakalpojuma procentu likme</w:t>
            </w:r>
            <w:r w:rsidRPr="0053009E">
              <w:rPr>
                <w:rStyle w:val="FootnoteReference"/>
                <w:sz w:val="21"/>
                <w:szCs w:val="21"/>
              </w:rPr>
              <w:footnoteReference w:id="1"/>
            </w:r>
          </w:p>
        </w:tc>
        <w:tc>
          <w:tcPr>
            <w:tcW w:w="3118" w:type="dxa"/>
            <w:gridSpan w:val="4"/>
            <w:shd w:val="clear" w:color="auto" w:fill="auto"/>
          </w:tcPr>
          <w:p w14:paraId="2F20B4EA" w14:textId="77777777" w:rsidR="0088163A" w:rsidRPr="0053009E" w:rsidRDefault="0088163A" w:rsidP="00C57059">
            <w:pPr>
              <w:keepNext/>
              <w:jc w:val="both"/>
              <w:rPr>
                <w:sz w:val="21"/>
                <w:szCs w:val="21"/>
              </w:rPr>
            </w:pPr>
          </w:p>
          <w:p w14:paraId="14C943FC" w14:textId="77777777" w:rsidR="0088163A" w:rsidRPr="0053009E" w:rsidRDefault="0088163A" w:rsidP="00C57059">
            <w:pPr>
              <w:keepNext/>
              <w:jc w:val="both"/>
              <w:rPr>
                <w:sz w:val="21"/>
                <w:szCs w:val="21"/>
              </w:rPr>
            </w:pPr>
          </w:p>
        </w:tc>
        <w:tc>
          <w:tcPr>
            <w:tcW w:w="892" w:type="dxa"/>
            <w:shd w:val="clear" w:color="auto" w:fill="auto"/>
          </w:tcPr>
          <w:p w14:paraId="0841DF43" w14:textId="77777777" w:rsidR="0088163A" w:rsidRPr="0053009E" w:rsidRDefault="0088163A" w:rsidP="00C57059">
            <w:pPr>
              <w:keepNext/>
              <w:jc w:val="center"/>
              <w:rPr>
                <w:sz w:val="21"/>
                <w:szCs w:val="21"/>
              </w:rPr>
            </w:pPr>
            <w:r w:rsidRPr="0053009E">
              <w:rPr>
                <w:sz w:val="21"/>
                <w:szCs w:val="21"/>
              </w:rPr>
              <w:t>%</w:t>
            </w:r>
          </w:p>
        </w:tc>
      </w:tr>
      <w:tr w:rsidR="0088163A" w:rsidRPr="0053009E" w14:paraId="576A8A3A" w14:textId="77777777" w:rsidTr="00C57059">
        <w:trPr>
          <w:gridAfter w:val="1"/>
          <w:wAfter w:w="6" w:type="dxa"/>
          <w:trHeight w:val="300"/>
        </w:trPr>
        <w:tc>
          <w:tcPr>
            <w:tcW w:w="523" w:type="dxa"/>
            <w:shd w:val="clear" w:color="auto" w:fill="auto"/>
          </w:tcPr>
          <w:p w14:paraId="4E56E070" w14:textId="77777777" w:rsidR="0088163A" w:rsidRPr="0053009E" w:rsidRDefault="0088163A" w:rsidP="0088163A">
            <w:pPr>
              <w:keepNext/>
              <w:numPr>
                <w:ilvl w:val="0"/>
                <w:numId w:val="2"/>
              </w:numPr>
              <w:ind w:hanging="720"/>
              <w:jc w:val="center"/>
              <w:rPr>
                <w:sz w:val="21"/>
                <w:szCs w:val="21"/>
              </w:rPr>
            </w:pPr>
          </w:p>
        </w:tc>
        <w:tc>
          <w:tcPr>
            <w:tcW w:w="4859" w:type="dxa"/>
            <w:gridSpan w:val="2"/>
            <w:shd w:val="clear" w:color="auto" w:fill="auto"/>
          </w:tcPr>
          <w:p w14:paraId="75ED005A" w14:textId="77777777" w:rsidR="0088163A" w:rsidRPr="0053009E" w:rsidRDefault="0088163A" w:rsidP="00C57059">
            <w:pPr>
              <w:keepNext/>
              <w:jc w:val="both"/>
              <w:rPr>
                <w:sz w:val="21"/>
                <w:szCs w:val="21"/>
              </w:rPr>
            </w:pPr>
            <w:r w:rsidRPr="0053009E">
              <w:rPr>
                <w:sz w:val="21"/>
                <w:szCs w:val="21"/>
              </w:rPr>
              <w:t xml:space="preserve">Pretendenta plānotā </w:t>
            </w:r>
            <w:proofErr w:type="spellStart"/>
            <w:r w:rsidRPr="0053009E">
              <w:rPr>
                <w:sz w:val="21"/>
                <w:szCs w:val="21"/>
              </w:rPr>
              <w:t>jaunizveidojamā</w:t>
            </w:r>
            <w:proofErr w:type="spellEnd"/>
            <w:r w:rsidRPr="0053009E">
              <w:rPr>
                <w:sz w:val="21"/>
                <w:szCs w:val="21"/>
              </w:rPr>
              <w:t xml:space="preserve"> finanšu pakalpojumu portfeļa garantijas likme (</w:t>
            </w:r>
            <w:proofErr w:type="spellStart"/>
            <w:r w:rsidRPr="0053009E">
              <w:rPr>
                <w:sz w:val="21"/>
                <w:szCs w:val="21"/>
              </w:rPr>
              <w:t>max</w:t>
            </w:r>
            <w:proofErr w:type="spellEnd"/>
            <w:r w:rsidRPr="0053009E">
              <w:rPr>
                <w:sz w:val="21"/>
                <w:szCs w:val="21"/>
              </w:rPr>
              <w:t xml:space="preserve"> 90%</w:t>
            </w:r>
            <w:r w:rsidRPr="0053009E">
              <w:rPr>
                <w:rStyle w:val="FootnoteReference"/>
                <w:sz w:val="21"/>
                <w:szCs w:val="21"/>
              </w:rPr>
              <w:footnoteReference w:id="2"/>
            </w:r>
            <w:r w:rsidRPr="0053009E">
              <w:rPr>
                <w:sz w:val="21"/>
                <w:szCs w:val="21"/>
              </w:rPr>
              <w:t>)</w:t>
            </w:r>
          </w:p>
        </w:tc>
        <w:tc>
          <w:tcPr>
            <w:tcW w:w="3118" w:type="dxa"/>
            <w:gridSpan w:val="4"/>
            <w:shd w:val="clear" w:color="auto" w:fill="auto"/>
          </w:tcPr>
          <w:p w14:paraId="20336A78" w14:textId="77777777" w:rsidR="0088163A" w:rsidRPr="0053009E" w:rsidRDefault="0088163A" w:rsidP="00C57059">
            <w:pPr>
              <w:keepNext/>
              <w:jc w:val="both"/>
              <w:rPr>
                <w:sz w:val="21"/>
                <w:szCs w:val="21"/>
              </w:rPr>
            </w:pPr>
          </w:p>
        </w:tc>
        <w:tc>
          <w:tcPr>
            <w:tcW w:w="892" w:type="dxa"/>
            <w:shd w:val="clear" w:color="auto" w:fill="auto"/>
          </w:tcPr>
          <w:p w14:paraId="6F88351D" w14:textId="77777777" w:rsidR="0088163A" w:rsidRPr="0053009E" w:rsidRDefault="0088163A" w:rsidP="00C57059">
            <w:pPr>
              <w:keepNext/>
              <w:jc w:val="center"/>
              <w:rPr>
                <w:sz w:val="21"/>
                <w:szCs w:val="21"/>
              </w:rPr>
            </w:pPr>
            <w:r w:rsidRPr="0053009E">
              <w:rPr>
                <w:sz w:val="21"/>
                <w:szCs w:val="21"/>
              </w:rPr>
              <w:t>%</w:t>
            </w:r>
          </w:p>
        </w:tc>
      </w:tr>
      <w:tr w:rsidR="0088163A" w:rsidRPr="0053009E" w14:paraId="04B8FB59" w14:textId="77777777" w:rsidTr="00C57059">
        <w:trPr>
          <w:gridAfter w:val="1"/>
          <w:wAfter w:w="6" w:type="dxa"/>
          <w:trHeight w:val="300"/>
        </w:trPr>
        <w:tc>
          <w:tcPr>
            <w:tcW w:w="523" w:type="dxa"/>
            <w:shd w:val="clear" w:color="auto" w:fill="auto"/>
          </w:tcPr>
          <w:p w14:paraId="2D45B41B" w14:textId="77777777" w:rsidR="0088163A" w:rsidRPr="0053009E" w:rsidRDefault="0088163A" w:rsidP="0088163A">
            <w:pPr>
              <w:keepNext/>
              <w:numPr>
                <w:ilvl w:val="0"/>
                <w:numId w:val="2"/>
              </w:numPr>
              <w:ind w:hanging="720"/>
              <w:jc w:val="center"/>
              <w:rPr>
                <w:sz w:val="21"/>
                <w:szCs w:val="21"/>
              </w:rPr>
            </w:pPr>
          </w:p>
        </w:tc>
        <w:tc>
          <w:tcPr>
            <w:tcW w:w="4859" w:type="dxa"/>
            <w:gridSpan w:val="2"/>
            <w:shd w:val="clear" w:color="auto" w:fill="auto"/>
          </w:tcPr>
          <w:p w14:paraId="661B2BE6" w14:textId="77777777" w:rsidR="0088163A" w:rsidRPr="0053009E" w:rsidRDefault="0088163A" w:rsidP="00C57059">
            <w:pPr>
              <w:keepNext/>
              <w:jc w:val="both"/>
              <w:rPr>
                <w:sz w:val="21"/>
                <w:szCs w:val="21"/>
              </w:rPr>
            </w:pPr>
            <w:r w:rsidRPr="0053009E">
              <w:rPr>
                <w:sz w:val="21"/>
                <w:szCs w:val="21"/>
              </w:rPr>
              <w:t xml:space="preserve">Pretendenta plānotā </w:t>
            </w:r>
            <w:proofErr w:type="spellStart"/>
            <w:r w:rsidRPr="0053009E">
              <w:rPr>
                <w:sz w:val="21"/>
                <w:szCs w:val="21"/>
              </w:rPr>
              <w:t>jaunizveidojamā</w:t>
            </w:r>
            <w:proofErr w:type="spellEnd"/>
            <w:r w:rsidRPr="0053009E">
              <w:rPr>
                <w:sz w:val="21"/>
                <w:szCs w:val="21"/>
              </w:rPr>
              <w:t xml:space="preserve"> finanšu pakalpojumu portfeļa  ierobežotās garantija likme (</w:t>
            </w:r>
            <w:proofErr w:type="spellStart"/>
            <w:r w:rsidRPr="0053009E">
              <w:rPr>
                <w:i/>
                <w:sz w:val="21"/>
                <w:szCs w:val="21"/>
              </w:rPr>
              <w:t>cap</w:t>
            </w:r>
            <w:proofErr w:type="spellEnd"/>
            <w:r w:rsidRPr="0053009E">
              <w:rPr>
                <w:i/>
                <w:sz w:val="21"/>
                <w:szCs w:val="21"/>
              </w:rPr>
              <w:t xml:space="preserve"> </w:t>
            </w:r>
            <w:proofErr w:type="spellStart"/>
            <w:r w:rsidRPr="0053009E">
              <w:rPr>
                <w:i/>
                <w:sz w:val="21"/>
                <w:szCs w:val="21"/>
              </w:rPr>
              <w:t>rate</w:t>
            </w:r>
            <w:proofErr w:type="spellEnd"/>
            <w:r w:rsidRPr="0053009E">
              <w:rPr>
                <w:i/>
                <w:sz w:val="21"/>
                <w:szCs w:val="21"/>
              </w:rPr>
              <w:t>)</w:t>
            </w:r>
            <w:r w:rsidRPr="0053009E">
              <w:rPr>
                <w:sz w:val="21"/>
                <w:szCs w:val="21"/>
              </w:rPr>
              <w:t xml:space="preserve"> (</w:t>
            </w:r>
            <w:proofErr w:type="spellStart"/>
            <w:r w:rsidRPr="0053009E">
              <w:rPr>
                <w:sz w:val="21"/>
                <w:szCs w:val="21"/>
              </w:rPr>
              <w:t>max</w:t>
            </w:r>
            <w:proofErr w:type="spellEnd"/>
            <w:r w:rsidRPr="0053009E">
              <w:rPr>
                <w:sz w:val="21"/>
                <w:szCs w:val="21"/>
              </w:rPr>
              <w:t xml:space="preserve"> 25%</w:t>
            </w:r>
            <w:r w:rsidRPr="0053009E">
              <w:rPr>
                <w:rStyle w:val="FootnoteReference"/>
                <w:sz w:val="21"/>
                <w:szCs w:val="21"/>
              </w:rPr>
              <w:footnoteReference w:id="3"/>
            </w:r>
            <w:r w:rsidRPr="0053009E">
              <w:rPr>
                <w:sz w:val="21"/>
                <w:szCs w:val="21"/>
              </w:rPr>
              <w:t xml:space="preserve">) </w:t>
            </w:r>
          </w:p>
        </w:tc>
        <w:tc>
          <w:tcPr>
            <w:tcW w:w="3118" w:type="dxa"/>
            <w:gridSpan w:val="4"/>
            <w:shd w:val="clear" w:color="auto" w:fill="auto"/>
          </w:tcPr>
          <w:p w14:paraId="3B700A52" w14:textId="77777777" w:rsidR="0088163A" w:rsidRPr="0053009E" w:rsidRDefault="0088163A" w:rsidP="00C57059">
            <w:pPr>
              <w:keepNext/>
              <w:jc w:val="both"/>
              <w:rPr>
                <w:sz w:val="21"/>
                <w:szCs w:val="21"/>
              </w:rPr>
            </w:pPr>
          </w:p>
        </w:tc>
        <w:tc>
          <w:tcPr>
            <w:tcW w:w="892" w:type="dxa"/>
            <w:shd w:val="clear" w:color="auto" w:fill="auto"/>
          </w:tcPr>
          <w:p w14:paraId="5448B79E" w14:textId="77777777" w:rsidR="0088163A" w:rsidRPr="0053009E" w:rsidRDefault="0088163A" w:rsidP="00C57059">
            <w:pPr>
              <w:keepNext/>
              <w:jc w:val="center"/>
              <w:rPr>
                <w:sz w:val="21"/>
                <w:szCs w:val="21"/>
              </w:rPr>
            </w:pPr>
            <w:r w:rsidRPr="0053009E">
              <w:rPr>
                <w:sz w:val="21"/>
                <w:szCs w:val="21"/>
              </w:rPr>
              <w:t>%</w:t>
            </w:r>
          </w:p>
        </w:tc>
      </w:tr>
      <w:tr w:rsidR="0088163A" w:rsidRPr="0053009E" w14:paraId="17FDC82A" w14:textId="77777777" w:rsidTr="00C57059">
        <w:trPr>
          <w:gridAfter w:val="1"/>
          <w:wAfter w:w="6" w:type="dxa"/>
          <w:trHeight w:val="543"/>
        </w:trPr>
        <w:tc>
          <w:tcPr>
            <w:tcW w:w="523" w:type="dxa"/>
            <w:shd w:val="clear" w:color="auto" w:fill="auto"/>
          </w:tcPr>
          <w:p w14:paraId="478F3BBB" w14:textId="77777777" w:rsidR="0088163A" w:rsidRPr="0053009E" w:rsidRDefault="0088163A" w:rsidP="0088163A">
            <w:pPr>
              <w:keepNext/>
              <w:numPr>
                <w:ilvl w:val="0"/>
                <w:numId w:val="2"/>
              </w:numPr>
              <w:ind w:hanging="720"/>
              <w:jc w:val="center"/>
              <w:rPr>
                <w:sz w:val="21"/>
                <w:szCs w:val="21"/>
              </w:rPr>
            </w:pPr>
          </w:p>
        </w:tc>
        <w:tc>
          <w:tcPr>
            <w:tcW w:w="4859" w:type="dxa"/>
            <w:gridSpan w:val="2"/>
            <w:shd w:val="clear" w:color="auto" w:fill="auto"/>
          </w:tcPr>
          <w:p w14:paraId="5CF349D3" w14:textId="77777777" w:rsidR="0088163A" w:rsidRPr="0053009E" w:rsidRDefault="0088163A" w:rsidP="00C57059">
            <w:pPr>
              <w:keepNext/>
              <w:jc w:val="both"/>
              <w:rPr>
                <w:sz w:val="21"/>
                <w:szCs w:val="21"/>
              </w:rPr>
            </w:pPr>
            <w:r w:rsidRPr="0053009E">
              <w:rPr>
                <w:sz w:val="21"/>
                <w:szCs w:val="21"/>
              </w:rPr>
              <w:t xml:space="preserve">Pretendenta plānotā neatmaksāto zaudējumu atgūšanas likme </w:t>
            </w:r>
            <w:r w:rsidRPr="0053009E">
              <w:rPr>
                <w:i/>
                <w:iCs/>
                <w:sz w:val="21"/>
                <w:szCs w:val="21"/>
              </w:rPr>
              <w:t>(</w:t>
            </w:r>
            <w:proofErr w:type="spellStart"/>
            <w:r w:rsidRPr="0053009E">
              <w:rPr>
                <w:i/>
                <w:iCs/>
                <w:sz w:val="21"/>
                <w:szCs w:val="21"/>
              </w:rPr>
              <w:t>ex-ante</w:t>
            </w:r>
            <w:proofErr w:type="spellEnd"/>
            <w:r w:rsidRPr="0053009E">
              <w:rPr>
                <w:i/>
                <w:iCs/>
                <w:sz w:val="21"/>
                <w:szCs w:val="21"/>
              </w:rPr>
              <w:t xml:space="preserve"> </w:t>
            </w:r>
            <w:proofErr w:type="spellStart"/>
            <w:r w:rsidRPr="0053009E">
              <w:rPr>
                <w:i/>
                <w:iCs/>
                <w:sz w:val="21"/>
                <w:szCs w:val="21"/>
              </w:rPr>
              <w:t>recovery</w:t>
            </w:r>
            <w:proofErr w:type="spellEnd"/>
            <w:r w:rsidRPr="0053009E">
              <w:rPr>
                <w:i/>
                <w:iCs/>
                <w:sz w:val="21"/>
                <w:szCs w:val="21"/>
              </w:rPr>
              <w:t xml:space="preserve"> </w:t>
            </w:r>
            <w:proofErr w:type="spellStart"/>
            <w:r w:rsidRPr="0053009E">
              <w:rPr>
                <w:i/>
                <w:iCs/>
                <w:sz w:val="21"/>
                <w:szCs w:val="21"/>
              </w:rPr>
              <w:t>rate</w:t>
            </w:r>
            <w:proofErr w:type="spellEnd"/>
            <w:r w:rsidRPr="0053009E">
              <w:rPr>
                <w:i/>
                <w:iCs/>
                <w:sz w:val="21"/>
                <w:szCs w:val="21"/>
              </w:rPr>
              <w:t>)</w:t>
            </w:r>
          </w:p>
        </w:tc>
        <w:tc>
          <w:tcPr>
            <w:tcW w:w="3118" w:type="dxa"/>
            <w:gridSpan w:val="4"/>
            <w:shd w:val="clear" w:color="auto" w:fill="auto"/>
          </w:tcPr>
          <w:p w14:paraId="7C641C22" w14:textId="77777777" w:rsidR="0088163A" w:rsidRPr="0053009E" w:rsidRDefault="0088163A" w:rsidP="00C57059">
            <w:pPr>
              <w:keepNext/>
              <w:jc w:val="both"/>
              <w:rPr>
                <w:sz w:val="21"/>
                <w:szCs w:val="21"/>
              </w:rPr>
            </w:pPr>
          </w:p>
        </w:tc>
        <w:tc>
          <w:tcPr>
            <w:tcW w:w="892" w:type="dxa"/>
            <w:shd w:val="clear" w:color="auto" w:fill="auto"/>
          </w:tcPr>
          <w:p w14:paraId="2798478E" w14:textId="77777777" w:rsidR="0088163A" w:rsidRPr="0053009E" w:rsidRDefault="0088163A" w:rsidP="00C57059">
            <w:pPr>
              <w:keepNext/>
              <w:jc w:val="center"/>
              <w:rPr>
                <w:sz w:val="21"/>
                <w:szCs w:val="21"/>
              </w:rPr>
            </w:pPr>
            <w:r w:rsidRPr="0053009E">
              <w:rPr>
                <w:sz w:val="21"/>
                <w:szCs w:val="21"/>
              </w:rPr>
              <w:t>%</w:t>
            </w:r>
          </w:p>
        </w:tc>
      </w:tr>
      <w:tr w:rsidR="0088163A" w:rsidRPr="0053009E" w14:paraId="74FD7BE2" w14:textId="77777777" w:rsidTr="00C57059">
        <w:trPr>
          <w:gridAfter w:val="1"/>
          <w:wAfter w:w="6" w:type="dxa"/>
          <w:trHeight w:val="394"/>
        </w:trPr>
        <w:tc>
          <w:tcPr>
            <w:tcW w:w="523" w:type="dxa"/>
            <w:vMerge w:val="restart"/>
            <w:shd w:val="clear" w:color="auto" w:fill="auto"/>
          </w:tcPr>
          <w:p w14:paraId="7DF4A1DC" w14:textId="77777777" w:rsidR="0088163A" w:rsidRPr="0053009E" w:rsidRDefault="0088163A" w:rsidP="0088163A">
            <w:pPr>
              <w:keepNext/>
              <w:numPr>
                <w:ilvl w:val="0"/>
                <w:numId w:val="2"/>
              </w:numPr>
              <w:ind w:hanging="720"/>
              <w:jc w:val="center"/>
              <w:rPr>
                <w:sz w:val="21"/>
                <w:szCs w:val="21"/>
              </w:rPr>
            </w:pPr>
          </w:p>
        </w:tc>
        <w:tc>
          <w:tcPr>
            <w:tcW w:w="3784" w:type="dxa"/>
            <w:vMerge w:val="restart"/>
            <w:shd w:val="clear" w:color="auto" w:fill="auto"/>
          </w:tcPr>
          <w:p w14:paraId="2CF27460" w14:textId="77777777" w:rsidR="0088163A" w:rsidRPr="0053009E" w:rsidRDefault="0088163A" w:rsidP="00C57059">
            <w:pPr>
              <w:keepNext/>
              <w:jc w:val="both"/>
              <w:rPr>
                <w:sz w:val="21"/>
                <w:szCs w:val="21"/>
              </w:rPr>
            </w:pPr>
            <w:r w:rsidRPr="0053009E">
              <w:rPr>
                <w:sz w:val="21"/>
                <w:szCs w:val="21"/>
              </w:rPr>
              <w:t xml:space="preserve">Pretendenta plānotā maksimālā </w:t>
            </w:r>
            <w:r>
              <w:rPr>
                <w:sz w:val="21"/>
                <w:szCs w:val="21"/>
              </w:rPr>
              <w:t xml:space="preserve">piešķiramā un </w:t>
            </w:r>
            <w:r w:rsidRPr="0053009E">
              <w:rPr>
                <w:sz w:val="21"/>
                <w:szCs w:val="21"/>
              </w:rPr>
              <w:t xml:space="preserve">izsniedzamā aizdevumu summa ar ALTUM </w:t>
            </w:r>
            <w:proofErr w:type="spellStart"/>
            <w:r w:rsidRPr="0053009E">
              <w:rPr>
                <w:sz w:val="21"/>
                <w:szCs w:val="21"/>
              </w:rPr>
              <w:t>portfeļgarantiju</w:t>
            </w:r>
            <w:proofErr w:type="spellEnd"/>
            <w:r w:rsidRPr="0053009E">
              <w:rPr>
                <w:sz w:val="21"/>
                <w:szCs w:val="21"/>
              </w:rPr>
              <w:t xml:space="preserve"> no 01.01.2025. līdz 31.12.2028.</w:t>
            </w:r>
            <w:r>
              <w:rPr>
                <w:rStyle w:val="FootnoteReference"/>
                <w:sz w:val="21"/>
                <w:szCs w:val="21"/>
              </w:rPr>
              <w:footnoteReference w:id="4"/>
            </w:r>
            <w:r w:rsidRPr="0053009E">
              <w:rPr>
                <w:sz w:val="21"/>
                <w:szCs w:val="21"/>
              </w:rPr>
              <w:t xml:space="preserve"> (EUR)</w:t>
            </w:r>
          </w:p>
        </w:tc>
        <w:tc>
          <w:tcPr>
            <w:tcW w:w="1075" w:type="dxa"/>
            <w:shd w:val="clear" w:color="auto" w:fill="auto"/>
          </w:tcPr>
          <w:p w14:paraId="6C675FAA" w14:textId="77777777" w:rsidR="0088163A" w:rsidRPr="0053009E" w:rsidDel="00E9666A" w:rsidRDefault="0088163A" w:rsidP="00C57059">
            <w:pPr>
              <w:keepNext/>
              <w:jc w:val="both"/>
              <w:rPr>
                <w:sz w:val="21"/>
                <w:szCs w:val="21"/>
              </w:rPr>
            </w:pPr>
          </w:p>
        </w:tc>
        <w:tc>
          <w:tcPr>
            <w:tcW w:w="850" w:type="dxa"/>
            <w:shd w:val="clear" w:color="auto" w:fill="auto"/>
          </w:tcPr>
          <w:p w14:paraId="54CDDFF6" w14:textId="77777777" w:rsidR="0088163A" w:rsidRPr="0053009E" w:rsidDel="00103DB7" w:rsidRDefault="0088163A" w:rsidP="00C57059">
            <w:pPr>
              <w:keepNext/>
              <w:jc w:val="both"/>
              <w:rPr>
                <w:sz w:val="21"/>
                <w:szCs w:val="21"/>
              </w:rPr>
            </w:pPr>
            <w:r w:rsidRPr="0053009E">
              <w:rPr>
                <w:sz w:val="21"/>
                <w:szCs w:val="21"/>
              </w:rPr>
              <w:t>2025.</w:t>
            </w:r>
          </w:p>
        </w:tc>
        <w:tc>
          <w:tcPr>
            <w:tcW w:w="709" w:type="dxa"/>
            <w:shd w:val="clear" w:color="auto" w:fill="auto"/>
          </w:tcPr>
          <w:p w14:paraId="7915CD16" w14:textId="77777777" w:rsidR="0088163A" w:rsidRPr="0053009E" w:rsidDel="00103DB7" w:rsidRDefault="0088163A" w:rsidP="00C57059">
            <w:pPr>
              <w:keepNext/>
              <w:jc w:val="both"/>
              <w:rPr>
                <w:sz w:val="21"/>
                <w:szCs w:val="21"/>
              </w:rPr>
            </w:pPr>
            <w:r w:rsidRPr="0053009E">
              <w:rPr>
                <w:sz w:val="21"/>
                <w:szCs w:val="21"/>
              </w:rPr>
              <w:t>2026.</w:t>
            </w:r>
          </w:p>
        </w:tc>
        <w:tc>
          <w:tcPr>
            <w:tcW w:w="851" w:type="dxa"/>
            <w:shd w:val="clear" w:color="auto" w:fill="auto"/>
          </w:tcPr>
          <w:p w14:paraId="5469B456" w14:textId="77777777" w:rsidR="0088163A" w:rsidRPr="0053009E" w:rsidRDefault="0088163A" w:rsidP="00C57059">
            <w:pPr>
              <w:keepNext/>
              <w:jc w:val="both"/>
              <w:rPr>
                <w:sz w:val="21"/>
                <w:szCs w:val="21"/>
              </w:rPr>
            </w:pPr>
            <w:r w:rsidRPr="0053009E">
              <w:rPr>
                <w:sz w:val="21"/>
                <w:szCs w:val="21"/>
              </w:rPr>
              <w:t>2027.</w:t>
            </w:r>
          </w:p>
        </w:tc>
        <w:tc>
          <w:tcPr>
            <w:tcW w:w="708" w:type="dxa"/>
            <w:shd w:val="clear" w:color="auto" w:fill="auto"/>
          </w:tcPr>
          <w:p w14:paraId="76381E15" w14:textId="77777777" w:rsidR="0088163A" w:rsidRPr="0053009E" w:rsidDel="007F0470" w:rsidRDefault="0088163A" w:rsidP="00C57059">
            <w:pPr>
              <w:keepNext/>
              <w:jc w:val="center"/>
              <w:rPr>
                <w:sz w:val="21"/>
                <w:szCs w:val="21"/>
              </w:rPr>
            </w:pPr>
            <w:r w:rsidRPr="0053009E">
              <w:rPr>
                <w:sz w:val="21"/>
                <w:szCs w:val="21"/>
              </w:rPr>
              <w:t>2028.</w:t>
            </w:r>
          </w:p>
        </w:tc>
        <w:tc>
          <w:tcPr>
            <w:tcW w:w="892" w:type="dxa"/>
            <w:shd w:val="clear" w:color="auto" w:fill="auto"/>
          </w:tcPr>
          <w:p w14:paraId="61E6F979" w14:textId="77777777" w:rsidR="0088163A" w:rsidRPr="0053009E" w:rsidRDefault="0088163A" w:rsidP="00C57059">
            <w:pPr>
              <w:keepNext/>
              <w:jc w:val="center"/>
              <w:rPr>
                <w:i/>
                <w:iCs/>
                <w:sz w:val="21"/>
                <w:szCs w:val="21"/>
              </w:rPr>
            </w:pPr>
            <w:r w:rsidRPr="0053009E">
              <w:rPr>
                <w:i/>
                <w:iCs/>
                <w:sz w:val="21"/>
                <w:szCs w:val="21"/>
              </w:rPr>
              <w:t>Kopā:</w:t>
            </w:r>
          </w:p>
        </w:tc>
      </w:tr>
      <w:tr w:rsidR="0088163A" w:rsidRPr="0053009E" w14:paraId="77CD187D" w14:textId="77777777" w:rsidTr="00C57059">
        <w:trPr>
          <w:gridAfter w:val="1"/>
          <w:wAfter w:w="6" w:type="dxa"/>
          <w:trHeight w:val="164"/>
        </w:trPr>
        <w:tc>
          <w:tcPr>
            <w:tcW w:w="523" w:type="dxa"/>
            <w:vMerge/>
            <w:shd w:val="clear" w:color="auto" w:fill="auto"/>
          </w:tcPr>
          <w:p w14:paraId="3B8680A4" w14:textId="77777777" w:rsidR="0088163A" w:rsidRPr="0053009E" w:rsidRDefault="0088163A" w:rsidP="0088163A">
            <w:pPr>
              <w:keepNext/>
              <w:numPr>
                <w:ilvl w:val="0"/>
                <w:numId w:val="2"/>
              </w:numPr>
              <w:ind w:hanging="720"/>
              <w:jc w:val="center"/>
              <w:rPr>
                <w:sz w:val="21"/>
                <w:szCs w:val="21"/>
              </w:rPr>
            </w:pPr>
          </w:p>
        </w:tc>
        <w:tc>
          <w:tcPr>
            <w:tcW w:w="3784" w:type="dxa"/>
            <w:vMerge/>
            <w:shd w:val="clear" w:color="auto" w:fill="auto"/>
          </w:tcPr>
          <w:p w14:paraId="3201F104" w14:textId="77777777" w:rsidR="0088163A" w:rsidRPr="0053009E" w:rsidRDefault="0088163A" w:rsidP="00C57059">
            <w:pPr>
              <w:keepNext/>
              <w:jc w:val="both"/>
              <w:rPr>
                <w:sz w:val="21"/>
                <w:szCs w:val="21"/>
              </w:rPr>
            </w:pPr>
          </w:p>
        </w:tc>
        <w:tc>
          <w:tcPr>
            <w:tcW w:w="1075" w:type="dxa"/>
            <w:shd w:val="clear" w:color="auto" w:fill="auto"/>
          </w:tcPr>
          <w:p w14:paraId="0F87ED57" w14:textId="77777777" w:rsidR="0088163A" w:rsidRPr="00BD5CE8" w:rsidRDefault="0088163A" w:rsidP="00C57059">
            <w:pPr>
              <w:keepNext/>
              <w:jc w:val="both"/>
              <w:rPr>
                <w:sz w:val="20"/>
                <w:szCs w:val="20"/>
              </w:rPr>
            </w:pPr>
            <w:r w:rsidRPr="00BD5CE8">
              <w:rPr>
                <w:sz w:val="20"/>
                <w:szCs w:val="20"/>
              </w:rPr>
              <w:t>Piešķirts</w:t>
            </w:r>
            <w:r w:rsidRPr="00231AFE">
              <w:rPr>
                <w:sz w:val="20"/>
                <w:szCs w:val="20"/>
              </w:rPr>
              <w:t xml:space="preserve"> </w:t>
            </w:r>
          </w:p>
        </w:tc>
        <w:tc>
          <w:tcPr>
            <w:tcW w:w="850" w:type="dxa"/>
            <w:shd w:val="clear" w:color="auto" w:fill="auto"/>
          </w:tcPr>
          <w:p w14:paraId="6CA8CFA3" w14:textId="77777777" w:rsidR="0088163A" w:rsidRPr="0053009E" w:rsidRDefault="0088163A" w:rsidP="00C57059">
            <w:pPr>
              <w:keepNext/>
              <w:jc w:val="both"/>
              <w:rPr>
                <w:sz w:val="21"/>
                <w:szCs w:val="21"/>
              </w:rPr>
            </w:pPr>
          </w:p>
        </w:tc>
        <w:tc>
          <w:tcPr>
            <w:tcW w:w="709" w:type="dxa"/>
            <w:shd w:val="clear" w:color="auto" w:fill="auto"/>
          </w:tcPr>
          <w:p w14:paraId="2332806D" w14:textId="77777777" w:rsidR="0088163A" w:rsidRPr="0053009E" w:rsidDel="00103DB7" w:rsidRDefault="0088163A" w:rsidP="00C57059">
            <w:pPr>
              <w:keepNext/>
              <w:jc w:val="both"/>
              <w:rPr>
                <w:sz w:val="21"/>
                <w:szCs w:val="21"/>
              </w:rPr>
            </w:pPr>
          </w:p>
        </w:tc>
        <w:tc>
          <w:tcPr>
            <w:tcW w:w="851" w:type="dxa"/>
            <w:shd w:val="clear" w:color="auto" w:fill="auto"/>
          </w:tcPr>
          <w:p w14:paraId="637591C3" w14:textId="77777777" w:rsidR="0088163A" w:rsidRPr="0053009E" w:rsidDel="007F0470" w:rsidRDefault="0088163A" w:rsidP="00C57059">
            <w:pPr>
              <w:keepNext/>
              <w:jc w:val="both"/>
              <w:rPr>
                <w:sz w:val="21"/>
                <w:szCs w:val="21"/>
              </w:rPr>
            </w:pPr>
          </w:p>
        </w:tc>
        <w:tc>
          <w:tcPr>
            <w:tcW w:w="708" w:type="dxa"/>
            <w:shd w:val="clear" w:color="auto" w:fill="auto"/>
          </w:tcPr>
          <w:p w14:paraId="3065E093" w14:textId="77777777" w:rsidR="0088163A" w:rsidRPr="0053009E" w:rsidDel="007F0470" w:rsidRDefault="0088163A" w:rsidP="00C57059">
            <w:pPr>
              <w:keepNext/>
              <w:jc w:val="center"/>
              <w:rPr>
                <w:sz w:val="21"/>
                <w:szCs w:val="21"/>
              </w:rPr>
            </w:pPr>
          </w:p>
        </w:tc>
        <w:tc>
          <w:tcPr>
            <w:tcW w:w="892" w:type="dxa"/>
            <w:shd w:val="clear" w:color="auto" w:fill="auto"/>
          </w:tcPr>
          <w:p w14:paraId="4F652F1C" w14:textId="77777777" w:rsidR="0088163A" w:rsidRPr="0053009E" w:rsidRDefault="0088163A" w:rsidP="00C57059">
            <w:pPr>
              <w:keepNext/>
              <w:jc w:val="center"/>
              <w:rPr>
                <w:sz w:val="21"/>
                <w:szCs w:val="21"/>
              </w:rPr>
            </w:pPr>
          </w:p>
        </w:tc>
      </w:tr>
      <w:tr w:rsidR="0088163A" w:rsidRPr="0053009E" w14:paraId="49F29EF4" w14:textId="77777777" w:rsidTr="00C57059">
        <w:trPr>
          <w:gridAfter w:val="1"/>
          <w:wAfter w:w="6" w:type="dxa"/>
          <w:trHeight w:val="163"/>
        </w:trPr>
        <w:tc>
          <w:tcPr>
            <w:tcW w:w="523" w:type="dxa"/>
            <w:vMerge/>
            <w:shd w:val="clear" w:color="auto" w:fill="auto"/>
          </w:tcPr>
          <w:p w14:paraId="12317304" w14:textId="77777777" w:rsidR="0088163A" w:rsidRPr="0053009E" w:rsidRDefault="0088163A" w:rsidP="0088163A">
            <w:pPr>
              <w:keepNext/>
              <w:numPr>
                <w:ilvl w:val="0"/>
                <w:numId w:val="2"/>
              </w:numPr>
              <w:ind w:hanging="720"/>
              <w:jc w:val="center"/>
              <w:rPr>
                <w:sz w:val="21"/>
                <w:szCs w:val="21"/>
              </w:rPr>
            </w:pPr>
          </w:p>
        </w:tc>
        <w:tc>
          <w:tcPr>
            <w:tcW w:w="3784" w:type="dxa"/>
            <w:vMerge/>
            <w:shd w:val="clear" w:color="auto" w:fill="auto"/>
          </w:tcPr>
          <w:p w14:paraId="0E1620D2" w14:textId="77777777" w:rsidR="0088163A" w:rsidRPr="0053009E" w:rsidRDefault="0088163A" w:rsidP="00C57059">
            <w:pPr>
              <w:keepNext/>
              <w:jc w:val="both"/>
              <w:rPr>
                <w:sz w:val="21"/>
                <w:szCs w:val="21"/>
              </w:rPr>
            </w:pPr>
          </w:p>
        </w:tc>
        <w:tc>
          <w:tcPr>
            <w:tcW w:w="1075" w:type="dxa"/>
            <w:shd w:val="clear" w:color="auto" w:fill="auto"/>
          </w:tcPr>
          <w:p w14:paraId="01F5CCE5" w14:textId="77777777" w:rsidR="0088163A" w:rsidRPr="009D1C03" w:rsidRDefault="0088163A" w:rsidP="00C57059">
            <w:pPr>
              <w:keepNext/>
              <w:jc w:val="both"/>
              <w:rPr>
                <w:sz w:val="20"/>
                <w:szCs w:val="20"/>
              </w:rPr>
            </w:pPr>
            <w:r w:rsidRPr="00BD5CE8">
              <w:rPr>
                <w:sz w:val="20"/>
                <w:szCs w:val="20"/>
              </w:rPr>
              <w:t>Izsniegts</w:t>
            </w:r>
          </w:p>
        </w:tc>
        <w:tc>
          <w:tcPr>
            <w:tcW w:w="850" w:type="dxa"/>
            <w:shd w:val="clear" w:color="auto" w:fill="auto"/>
          </w:tcPr>
          <w:p w14:paraId="4DC20DEF" w14:textId="77777777" w:rsidR="0088163A" w:rsidRPr="0053009E" w:rsidRDefault="0088163A" w:rsidP="00C57059">
            <w:pPr>
              <w:keepNext/>
              <w:jc w:val="both"/>
              <w:rPr>
                <w:sz w:val="21"/>
                <w:szCs w:val="21"/>
              </w:rPr>
            </w:pPr>
          </w:p>
        </w:tc>
        <w:tc>
          <w:tcPr>
            <w:tcW w:w="709" w:type="dxa"/>
            <w:shd w:val="clear" w:color="auto" w:fill="auto"/>
          </w:tcPr>
          <w:p w14:paraId="289D7221" w14:textId="77777777" w:rsidR="0088163A" w:rsidRPr="0053009E" w:rsidDel="00103DB7" w:rsidRDefault="0088163A" w:rsidP="00C57059">
            <w:pPr>
              <w:keepNext/>
              <w:jc w:val="both"/>
              <w:rPr>
                <w:sz w:val="21"/>
                <w:szCs w:val="21"/>
              </w:rPr>
            </w:pPr>
          </w:p>
        </w:tc>
        <w:tc>
          <w:tcPr>
            <w:tcW w:w="851" w:type="dxa"/>
            <w:shd w:val="clear" w:color="auto" w:fill="auto"/>
          </w:tcPr>
          <w:p w14:paraId="3B302079" w14:textId="77777777" w:rsidR="0088163A" w:rsidRPr="0053009E" w:rsidDel="007F0470" w:rsidRDefault="0088163A" w:rsidP="00C57059">
            <w:pPr>
              <w:keepNext/>
              <w:jc w:val="both"/>
              <w:rPr>
                <w:sz w:val="21"/>
                <w:szCs w:val="21"/>
              </w:rPr>
            </w:pPr>
          </w:p>
        </w:tc>
        <w:tc>
          <w:tcPr>
            <w:tcW w:w="708" w:type="dxa"/>
            <w:shd w:val="clear" w:color="auto" w:fill="auto"/>
          </w:tcPr>
          <w:p w14:paraId="405A9C8C" w14:textId="77777777" w:rsidR="0088163A" w:rsidRPr="0053009E" w:rsidDel="007F0470" w:rsidRDefault="0088163A" w:rsidP="00C57059">
            <w:pPr>
              <w:keepNext/>
              <w:jc w:val="center"/>
              <w:rPr>
                <w:sz w:val="21"/>
                <w:szCs w:val="21"/>
              </w:rPr>
            </w:pPr>
          </w:p>
        </w:tc>
        <w:tc>
          <w:tcPr>
            <w:tcW w:w="892" w:type="dxa"/>
            <w:shd w:val="clear" w:color="auto" w:fill="auto"/>
          </w:tcPr>
          <w:p w14:paraId="6F34717C" w14:textId="77777777" w:rsidR="0088163A" w:rsidRPr="0053009E" w:rsidRDefault="0088163A" w:rsidP="00C57059">
            <w:pPr>
              <w:keepNext/>
              <w:jc w:val="center"/>
              <w:rPr>
                <w:sz w:val="21"/>
                <w:szCs w:val="21"/>
              </w:rPr>
            </w:pPr>
          </w:p>
        </w:tc>
      </w:tr>
      <w:tr w:rsidR="0088163A" w:rsidRPr="0053009E" w14:paraId="665F90A7" w14:textId="77777777" w:rsidTr="00C57059">
        <w:trPr>
          <w:gridAfter w:val="1"/>
          <w:wAfter w:w="6" w:type="dxa"/>
          <w:trHeight w:val="327"/>
        </w:trPr>
        <w:tc>
          <w:tcPr>
            <w:tcW w:w="523" w:type="dxa"/>
            <w:shd w:val="clear" w:color="auto" w:fill="auto"/>
          </w:tcPr>
          <w:p w14:paraId="7BC8C8AF" w14:textId="77777777" w:rsidR="0088163A" w:rsidRPr="0053009E" w:rsidRDefault="0088163A" w:rsidP="0088163A">
            <w:pPr>
              <w:keepNext/>
              <w:numPr>
                <w:ilvl w:val="0"/>
                <w:numId w:val="2"/>
              </w:numPr>
              <w:ind w:hanging="720"/>
              <w:jc w:val="center"/>
              <w:rPr>
                <w:sz w:val="21"/>
                <w:szCs w:val="21"/>
              </w:rPr>
            </w:pPr>
          </w:p>
        </w:tc>
        <w:tc>
          <w:tcPr>
            <w:tcW w:w="4859" w:type="dxa"/>
            <w:gridSpan w:val="2"/>
            <w:shd w:val="clear" w:color="auto" w:fill="auto"/>
          </w:tcPr>
          <w:p w14:paraId="60C7DDCE" w14:textId="77777777" w:rsidR="0088163A" w:rsidRPr="0053009E" w:rsidRDefault="0088163A" w:rsidP="00C57059">
            <w:pPr>
              <w:keepNext/>
              <w:jc w:val="both"/>
              <w:rPr>
                <w:sz w:val="21"/>
                <w:szCs w:val="21"/>
              </w:rPr>
            </w:pPr>
            <w:r w:rsidRPr="0053009E">
              <w:rPr>
                <w:sz w:val="21"/>
                <w:szCs w:val="21"/>
              </w:rPr>
              <w:t xml:space="preserve">Vai pretendents piedāvās citus atvieglojumus kredīta ņēmējam, piemēram, bez komisijas maksas </w:t>
            </w:r>
            <w:proofErr w:type="spellStart"/>
            <w:r w:rsidRPr="0053009E">
              <w:rPr>
                <w:sz w:val="21"/>
                <w:szCs w:val="21"/>
              </w:rPr>
              <w:t>utml</w:t>
            </w:r>
            <w:proofErr w:type="spellEnd"/>
            <w:r w:rsidRPr="0053009E">
              <w:rPr>
                <w:sz w:val="21"/>
                <w:szCs w:val="21"/>
              </w:rPr>
              <w:t xml:space="preserve">. </w:t>
            </w:r>
            <w:r w:rsidRPr="0053009E">
              <w:rPr>
                <w:i/>
                <w:iCs/>
                <w:sz w:val="21"/>
                <w:szCs w:val="21"/>
              </w:rPr>
              <w:t>Norādīt kādus</w:t>
            </w:r>
          </w:p>
        </w:tc>
        <w:tc>
          <w:tcPr>
            <w:tcW w:w="4010" w:type="dxa"/>
            <w:gridSpan w:val="5"/>
            <w:shd w:val="clear" w:color="auto" w:fill="auto"/>
          </w:tcPr>
          <w:p w14:paraId="6E9507F7" w14:textId="77777777" w:rsidR="0088163A" w:rsidRPr="0053009E" w:rsidRDefault="0088163A" w:rsidP="00C57059">
            <w:pPr>
              <w:keepNext/>
              <w:rPr>
                <w:sz w:val="21"/>
                <w:szCs w:val="21"/>
              </w:rPr>
            </w:pPr>
          </w:p>
        </w:tc>
      </w:tr>
    </w:tbl>
    <w:p w14:paraId="7B0C7CC0" w14:textId="73D6C0D5" w:rsidR="0088163A" w:rsidRPr="0053009E" w:rsidRDefault="0088163A" w:rsidP="0088163A">
      <w:pPr>
        <w:rPr>
          <w:b/>
          <w:sz w:val="22"/>
          <w:szCs w:val="22"/>
        </w:rPr>
      </w:pPr>
    </w:p>
    <w:p w14:paraId="291AC6DD" w14:textId="77777777" w:rsidR="0088163A" w:rsidRPr="0053009E" w:rsidRDefault="0088163A" w:rsidP="0088163A">
      <w:pPr>
        <w:pStyle w:val="ListParagraph"/>
        <w:numPr>
          <w:ilvl w:val="0"/>
          <w:numId w:val="1"/>
        </w:numPr>
        <w:ind w:left="709" w:right="-1050" w:hanging="709"/>
        <w:jc w:val="both"/>
        <w:rPr>
          <w:b/>
          <w:sz w:val="22"/>
          <w:szCs w:val="22"/>
        </w:rPr>
      </w:pPr>
      <w:r w:rsidRPr="0053009E">
        <w:rPr>
          <w:b/>
          <w:sz w:val="22"/>
          <w:szCs w:val="22"/>
        </w:rPr>
        <w:t>Informācija par pretendentu, t.sk.:</w:t>
      </w:r>
    </w:p>
    <w:p w14:paraId="034BE288"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 xml:space="preserve">Vispārīga informācija par pretendentu: izveidošanas gads, juridiskais statuss, darbinieku skaits, akcionāri, reitings (lūdzu norādīt saiti) u.c. informācija. </w:t>
      </w:r>
    </w:p>
    <w:p w14:paraId="113E3182"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Pretendenta līdz šim sniegtie finanšu pakalpojumi studentu kreditēšanai -  aizdevumu produktu veidi, mērķis, galvenie nosacījumi, t.sk. maksimālā un vidējā summa, atmaksas termiņš, nodrošinājuma apjoms. Lūdzam arī norādīt, ja šādi pakalpojumi nav sniegti.</w:t>
      </w:r>
    </w:p>
    <w:p w14:paraId="19FE0141" w14:textId="77777777" w:rsidR="0088163A" w:rsidRPr="0053009E" w:rsidRDefault="0088163A" w:rsidP="0088163A">
      <w:pPr>
        <w:jc w:val="both"/>
        <w:rPr>
          <w:sz w:val="22"/>
          <w:szCs w:val="22"/>
        </w:rPr>
      </w:pPr>
    </w:p>
    <w:p w14:paraId="4082C77F" w14:textId="77777777" w:rsidR="0088163A" w:rsidRPr="0053009E" w:rsidRDefault="0088163A" w:rsidP="0088163A">
      <w:pPr>
        <w:pStyle w:val="ListParagraph"/>
        <w:numPr>
          <w:ilvl w:val="0"/>
          <w:numId w:val="1"/>
        </w:numPr>
        <w:ind w:left="709" w:right="-908" w:hanging="709"/>
        <w:jc w:val="both"/>
        <w:rPr>
          <w:b/>
          <w:sz w:val="22"/>
          <w:szCs w:val="22"/>
        </w:rPr>
      </w:pPr>
      <w:r w:rsidRPr="0053009E">
        <w:rPr>
          <w:b/>
          <w:sz w:val="22"/>
          <w:szCs w:val="22"/>
        </w:rPr>
        <w:t xml:space="preserve">Pretendenta </w:t>
      </w:r>
      <w:r w:rsidRPr="0053009E">
        <w:rPr>
          <w:b/>
          <w:sz w:val="22"/>
          <w:szCs w:val="22"/>
          <w:u w:val="single"/>
        </w:rPr>
        <w:t>līdzšinējie</w:t>
      </w:r>
      <w:r w:rsidRPr="0053009E">
        <w:rPr>
          <w:b/>
          <w:sz w:val="22"/>
          <w:szCs w:val="22"/>
        </w:rPr>
        <w:t xml:space="preserve"> un </w:t>
      </w:r>
      <w:r w:rsidRPr="0053009E">
        <w:rPr>
          <w:b/>
          <w:sz w:val="22"/>
          <w:szCs w:val="22"/>
          <w:u w:val="single"/>
        </w:rPr>
        <w:t>plānotie</w:t>
      </w:r>
      <w:r w:rsidRPr="0053009E">
        <w:rPr>
          <w:b/>
          <w:sz w:val="22"/>
          <w:szCs w:val="22"/>
        </w:rPr>
        <w:t xml:space="preserve"> darbības principi studentu kreditēšanai </w:t>
      </w:r>
      <w:r w:rsidRPr="0053009E">
        <w:rPr>
          <w:b/>
          <w:bCs/>
          <w:sz w:val="22"/>
          <w:szCs w:val="22"/>
        </w:rPr>
        <w:t>(vai līdzšinējiem pielīdzināmiem finanšu pakalpojumiem)</w:t>
      </w:r>
      <w:r w:rsidRPr="0053009E">
        <w:rPr>
          <w:rStyle w:val="FootnoteReference"/>
          <w:sz w:val="22"/>
          <w:szCs w:val="22"/>
        </w:rPr>
        <w:footnoteReference w:id="5"/>
      </w:r>
      <w:r w:rsidRPr="0053009E">
        <w:rPr>
          <w:b/>
          <w:bCs/>
          <w:sz w:val="22"/>
          <w:szCs w:val="22"/>
        </w:rPr>
        <w:t>:</w:t>
      </w:r>
    </w:p>
    <w:p w14:paraId="742C2568"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lastRenderedPageBreak/>
        <w:t>Finanšu pakalpojumu piešķiršanas nosacījumi un kritēriji</w:t>
      </w:r>
      <w:r w:rsidRPr="0053009E">
        <w:rPr>
          <w:rStyle w:val="FootnoteReference"/>
          <w:sz w:val="22"/>
          <w:szCs w:val="22"/>
        </w:rPr>
        <w:footnoteReference w:id="6"/>
      </w:r>
      <w:r w:rsidRPr="0053009E">
        <w:rPr>
          <w:sz w:val="22"/>
          <w:szCs w:val="22"/>
        </w:rPr>
        <w:t>:</w:t>
      </w:r>
    </w:p>
    <w:p w14:paraId="5CA3F18D"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pieteikumu vērtēšanas/apstiprināšanas procedūras (iekšējais kredītreitings/</w:t>
      </w:r>
      <w:proofErr w:type="spellStart"/>
      <w:r w:rsidRPr="0053009E">
        <w:rPr>
          <w:sz w:val="22"/>
          <w:szCs w:val="22"/>
        </w:rPr>
        <w:t>scorings</w:t>
      </w:r>
      <w:proofErr w:type="spellEnd"/>
      <w:r w:rsidRPr="0053009E">
        <w:rPr>
          <w:sz w:val="22"/>
          <w:szCs w:val="22"/>
        </w:rPr>
        <w:t>), citi pieteikumu vērtēšanas nosacījumi;</w:t>
      </w:r>
    </w:p>
    <w:p w14:paraId="1876A849"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iesniedzamā informācija un kārtība finanšu pakalpojuma pieteikumam;</w:t>
      </w:r>
    </w:p>
    <w:p w14:paraId="1B22A7E0"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nodrošinājuma prasības;</w:t>
      </w:r>
    </w:p>
    <w:p w14:paraId="1B8F0E6D"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finanšu pakalpojumu uzraudzības sistēma (biežums, veicamās darbības, t.sk. plānotās darbības, lai nodrošinātu MK noteikumu nosacījumu ievērošanu);</w:t>
      </w:r>
    </w:p>
    <w:p w14:paraId="5A291B1A"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parādu atgūšanas procedūras (pretendenta veiktās darbības un termiņi, iepirktie pakalpojumi, ja piemērojams, u.c.);</w:t>
      </w:r>
    </w:p>
    <w:p w14:paraId="7601946D"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Riska vadība: metodes zaudējumu prognozēšanai, uzraudzībai un kredītriska pārvaldīšanai portfeļa līmenī;</w:t>
      </w:r>
    </w:p>
    <w:p w14:paraId="35A80D96"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 xml:space="preserve">Iepriekš norādīto informāciju pamato ar norādītajiem (vai pielīdzināmiem) dokumentiem vai ar šo dokumentu aprakstu:  </w:t>
      </w:r>
    </w:p>
    <w:p w14:paraId="0B1E143A"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 xml:space="preserve">finanšu pakalpojumu pieteikumu vērtēšanas metodika;  </w:t>
      </w:r>
    </w:p>
    <w:p w14:paraId="1BFABBA8"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iekšējā kredītreitinga/</w:t>
      </w:r>
      <w:proofErr w:type="spellStart"/>
      <w:r w:rsidRPr="0053009E">
        <w:rPr>
          <w:sz w:val="22"/>
          <w:szCs w:val="22"/>
        </w:rPr>
        <w:t>scoringa</w:t>
      </w:r>
      <w:proofErr w:type="spellEnd"/>
      <w:r w:rsidRPr="0053009E">
        <w:rPr>
          <w:sz w:val="22"/>
          <w:szCs w:val="22"/>
        </w:rPr>
        <w:t xml:space="preserve"> metodika;</w:t>
      </w:r>
    </w:p>
    <w:p w14:paraId="7CFDD38D"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uzkrājumu veidošanas, uzraudzības un portfeļa riska vadības metodikas;</w:t>
      </w:r>
    </w:p>
    <w:p w14:paraId="30A9B8EB"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 xml:space="preserve">nodrošinājuma vērtēšanas un parādu atgūšanas metodika. </w:t>
      </w:r>
    </w:p>
    <w:p w14:paraId="7A27CA09" w14:textId="77777777" w:rsidR="0088163A" w:rsidRPr="0053009E" w:rsidRDefault="0088163A" w:rsidP="0088163A">
      <w:pPr>
        <w:pStyle w:val="ListParagraph"/>
        <w:numPr>
          <w:ilvl w:val="1"/>
          <w:numId w:val="1"/>
        </w:numPr>
        <w:ind w:right="-1050"/>
        <w:rPr>
          <w:sz w:val="22"/>
          <w:szCs w:val="22"/>
        </w:rPr>
      </w:pPr>
      <w:r w:rsidRPr="0053009E">
        <w:rPr>
          <w:sz w:val="22"/>
          <w:szCs w:val="22"/>
        </w:rPr>
        <w:t>Pasākumi, lai nodrošinātu NILLN un sankciju atbilstības iekšējās kontroles sistēma (IKS) funkcionēšanu.</w:t>
      </w:r>
    </w:p>
    <w:p w14:paraId="637EC416" w14:textId="77777777" w:rsidR="0088163A" w:rsidRPr="0053009E" w:rsidRDefault="0088163A" w:rsidP="0088163A">
      <w:pPr>
        <w:pStyle w:val="ListParagraph"/>
        <w:ind w:left="709" w:right="-1050"/>
        <w:jc w:val="both"/>
        <w:rPr>
          <w:sz w:val="22"/>
          <w:szCs w:val="22"/>
        </w:rPr>
      </w:pPr>
    </w:p>
    <w:p w14:paraId="113573E9" w14:textId="77777777" w:rsidR="0088163A" w:rsidRPr="0053009E" w:rsidRDefault="0088163A" w:rsidP="0088163A">
      <w:pPr>
        <w:pStyle w:val="ListParagraph"/>
        <w:numPr>
          <w:ilvl w:val="0"/>
          <w:numId w:val="1"/>
        </w:numPr>
        <w:ind w:left="709" w:right="-1050" w:hanging="709"/>
        <w:jc w:val="both"/>
        <w:rPr>
          <w:b/>
          <w:bCs/>
          <w:sz w:val="22"/>
          <w:szCs w:val="22"/>
        </w:rPr>
      </w:pPr>
      <w:r w:rsidRPr="0053009E">
        <w:rPr>
          <w:b/>
          <w:bCs/>
          <w:sz w:val="22"/>
          <w:szCs w:val="22"/>
        </w:rPr>
        <w:t>Pretendenta pēdējo 5 gadu laikā sniegtie finanšu pakalpojumi studentu kreditēšanai (vai pielīdzināmiem finanšu pakalpojumiem) dalījumā pa produktiem:</w:t>
      </w:r>
    </w:p>
    <w:p w14:paraId="4AAC650C" w14:textId="77777777" w:rsidR="0088163A" w:rsidRPr="0053009E" w:rsidRDefault="0088163A" w:rsidP="0088163A">
      <w:pPr>
        <w:pStyle w:val="ListParagraph"/>
        <w:numPr>
          <w:ilvl w:val="1"/>
          <w:numId w:val="1"/>
        </w:numPr>
        <w:ind w:right="-1050"/>
        <w:jc w:val="both"/>
        <w:rPr>
          <w:bCs/>
          <w:sz w:val="22"/>
          <w:szCs w:val="22"/>
        </w:rPr>
      </w:pPr>
      <w:r w:rsidRPr="0053009E">
        <w:rPr>
          <w:bCs/>
          <w:sz w:val="22"/>
          <w:szCs w:val="22"/>
        </w:rPr>
        <w:t>Ikgadējais izsniegto aizdevumu skaits un summa.</w:t>
      </w:r>
    </w:p>
    <w:p w14:paraId="52AD4810"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Kopējais izsniegto aizdevumu skaits un portfelis gada beigās.</w:t>
      </w:r>
    </w:p>
    <w:p w14:paraId="5CB26B52" w14:textId="77777777" w:rsidR="0088163A" w:rsidRPr="0053009E" w:rsidRDefault="0088163A" w:rsidP="0088163A">
      <w:pPr>
        <w:pStyle w:val="ListParagraph"/>
        <w:ind w:left="709" w:right="-1050"/>
        <w:jc w:val="both"/>
        <w:rPr>
          <w:sz w:val="22"/>
          <w:szCs w:val="22"/>
        </w:rPr>
      </w:pPr>
    </w:p>
    <w:p w14:paraId="43CC1D01" w14:textId="77777777" w:rsidR="0088163A" w:rsidRPr="0053009E" w:rsidRDefault="0088163A" w:rsidP="0088163A">
      <w:pPr>
        <w:pStyle w:val="ListParagraph"/>
        <w:numPr>
          <w:ilvl w:val="0"/>
          <w:numId w:val="1"/>
        </w:numPr>
        <w:ind w:left="709" w:right="-1050" w:hanging="709"/>
        <w:jc w:val="both"/>
        <w:rPr>
          <w:b/>
          <w:bCs/>
          <w:sz w:val="22"/>
          <w:szCs w:val="22"/>
        </w:rPr>
      </w:pPr>
      <w:r w:rsidRPr="0053009E">
        <w:rPr>
          <w:b/>
          <w:bCs/>
          <w:sz w:val="22"/>
          <w:szCs w:val="22"/>
        </w:rPr>
        <w:t xml:space="preserve">Procentu likme un citas maksas: </w:t>
      </w:r>
    </w:p>
    <w:p w14:paraId="08817EA4"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Studentu kreditēšanai (vai pielīdzināmiem finanšu pakalpojumiem) līdz šim (ja tādi ir sniegti ar vai bez</w:t>
      </w:r>
      <w:r w:rsidRPr="0053009E">
        <w:t xml:space="preserve"> </w:t>
      </w:r>
      <w:r w:rsidRPr="0053009E">
        <w:rPr>
          <w:sz w:val="22"/>
          <w:szCs w:val="22"/>
        </w:rPr>
        <w:t xml:space="preserve">studiju un studējošo kreditēšanas </w:t>
      </w:r>
      <w:proofErr w:type="spellStart"/>
      <w:r w:rsidRPr="0053009E">
        <w:rPr>
          <w:sz w:val="22"/>
          <w:szCs w:val="22"/>
        </w:rPr>
        <w:t>portfeļgarantijas</w:t>
      </w:r>
      <w:proofErr w:type="spellEnd"/>
      <w:r w:rsidRPr="0053009E">
        <w:rPr>
          <w:sz w:val="22"/>
          <w:szCs w:val="22"/>
        </w:rPr>
        <w:t>):</w:t>
      </w:r>
    </w:p>
    <w:p w14:paraId="6AE413CC" w14:textId="77777777" w:rsidR="0088163A" w:rsidRPr="0053009E" w:rsidRDefault="0088163A" w:rsidP="0088163A">
      <w:pPr>
        <w:pStyle w:val="ListParagraph"/>
        <w:numPr>
          <w:ilvl w:val="2"/>
          <w:numId w:val="1"/>
        </w:numPr>
        <w:ind w:right="-1050"/>
        <w:jc w:val="both"/>
        <w:rPr>
          <w:bCs/>
          <w:sz w:val="22"/>
          <w:szCs w:val="22"/>
        </w:rPr>
      </w:pPr>
      <w:r w:rsidRPr="0053009E">
        <w:rPr>
          <w:bCs/>
          <w:sz w:val="22"/>
          <w:szCs w:val="22"/>
        </w:rPr>
        <w:t xml:space="preserve">aizdevuma likmes noteikšanas nosacījumi atkarībā no aizdevuma veida, summas, termiņa, riska kategorijas </w:t>
      </w:r>
      <w:proofErr w:type="spellStart"/>
      <w:r w:rsidRPr="0053009E">
        <w:rPr>
          <w:bCs/>
          <w:sz w:val="22"/>
          <w:szCs w:val="22"/>
        </w:rPr>
        <w:t>u.c</w:t>
      </w:r>
      <w:proofErr w:type="spellEnd"/>
      <w:r w:rsidRPr="0053009E">
        <w:rPr>
          <w:bCs/>
          <w:sz w:val="22"/>
          <w:szCs w:val="22"/>
        </w:rPr>
        <w:t>;</w:t>
      </w:r>
    </w:p>
    <w:p w14:paraId="4AD8581E"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citas izmaksas, komisijas maksājumi u.c.;</w:t>
      </w:r>
    </w:p>
    <w:p w14:paraId="68B95D06" w14:textId="77777777" w:rsidR="0088163A" w:rsidRPr="0053009E" w:rsidRDefault="0088163A" w:rsidP="0088163A">
      <w:pPr>
        <w:pStyle w:val="ListParagraph"/>
        <w:numPr>
          <w:ilvl w:val="1"/>
          <w:numId w:val="1"/>
        </w:numPr>
        <w:ind w:right="-1050"/>
        <w:jc w:val="both"/>
        <w:rPr>
          <w:sz w:val="22"/>
          <w:szCs w:val="22"/>
        </w:rPr>
      </w:pPr>
      <w:r w:rsidRPr="0053009E">
        <w:rPr>
          <w:sz w:val="22"/>
          <w:szCs w:val="22"/>
        </w:rPr>
        <w:t xml:space="preserve">Studiju un studējošo kredītiem ar plānoto </w:t>
      </w:r>
      <w:proofErr w:type="spellStart"/>
      <w:r w:rsidRPr="0053009E">
        <w:rPr>
          <w:sz w:val="22"/>
          <w:szCs w:val="22"/>
        </w:rPr>
        <w:t>portfeļgarantiju</w:t>
      </w:r>
      <w:proofErr w:type="spellEnd"/>
      <w:r w:rsidRPr="0053009E">
        <w:rPr>
          <w:sz w:val="22"/>
          <w:szCs w:val="22"/>
        </w:rPr>
        <w:t>:</w:t>
      </w:r>
    </w:p>
    <w:p w14:paraId="2A329F20" w14:textId="77777777" w:rsidR="0088163A" w:rsidRPr="0053009E" w:rsidRDefault="0088163A" w:rsidP="0088163A">
      <w:pPr>
        <w:pStyle w:val="ListParagraph"/>
        <w:numPr>
          <w:ilvl w:val="2"/>
          <w:numId w:val="1"/>
        </w:numPr>
        <w:ind w:right="-1050"/>
        <w:jc w:val="both"/>
        <w:rPr>
          <w:bCs/>
          <w:sz w:val="22"/>
          <w:szCs w:val="22"/>
        </w:rPr>
      </w:pPr>
      <w:r w:rsidRPr="0053009E">
        <w:rPr>
          <w:bCs/>
          <w:sz w:val="22"/>
          <w:szCs w:val="22"/>
        </w:rPr>
        <w:t>aizdevuma likmes noteikšanas nosacījumi atkarībā no aizdevuma veida (studiju vai studējošā), summas, termiņa, riska kategorijas u.c., ja tiks piemērots;</w:t>
      </w:r>
    </w:p>
    <w:p w14:paraId="730F5056" w14:textId="77777777" w:rsidR="0088163A" w:rsidRPr="0053009E" w:rsidRDefault="0088163A" w:rsidP="0088163A">
      <w:pPr>
        <w:pStyle w:val="ListParagraph"/>
        <w:numPr>
          <w:ilvl w:val="2"/>
          <w:numId w:val="1"/>
        </w:numPr>
        <w:jc w:val="both"/>
        <w:rPr>
          <w:sz w:val="22"/>
          <w:szCs w:val="22"/>
        </w:rPr>
      </w:pPr>
      <w:r w:rsidRPr="0053009E">
        <w:rPr>
          <w:sz w:val="22"/>
          <w:szCs w:val="22"/>
        </w:rPr>
        <w:t>citas izmaksas, komisijas maksājumi u.c.</w:t>
      </w:r>
    </w:p>
    <w:p w14:paraId="2D89D88C" w14:textId="77777777" w:rsidR="0088163A" w:rsidRPr="0053009E" w:rsidRDefault="0088163A" w:rsidP="0088163A">
      <w:pPr>
        <w:pStyle w:val="ListParagraph"/>
        <w:ind w:left="709"/>
        <w:jc w:val="both"/>
        <w:rPr>
          <w:sz w:val="22"/>
          <w:szCs w:val="22"/>
        </w:rPr>
      </w:pPr>
    </w:p>
    <w:p w14:paraId="1C453C84" w14:textId="77777777" w:rsidR="0088163A" w:rsidRPr="0053009E" w:rsidRDefault="0088163A" w:rsidP="0088163A">
      <w:pPr>
        <w:pStyle w:val="ListParagraph"/>
        <w:numPr>
          <w:ilvl w:val="0"/>
          <w:numId w:val="1"/>
        </w:numPr>
        <w:ind w:left="709" w:right="-1050" w:hanging="709"/>
        <w:jc w:val="both"/>
        <w:rPr>
          <w:b/>
          <w:bCs/>
          <w:sz w:val="22"/>
          <w:szCs w:val="22"/>
        </w:rPr>
      </w:pPr>
      <w:r w:rsidRPr="0053009E">
        <w:rPr>
          <w:b/>
          <w:bCs/>
          <w:sz w:val="22"/>
          <w:szCs w:val="22"/>
        </w:rPr>
        <w:t xml:space="preserve">Plānotais kopējais kredītu piešķiršanas apjoms ar studiju un studējošo kreditēšanas </w:t>
      </w:r>
      <w:proofErr w:type="spellStart"/>
      <w:r w:rsidRPr="0053009E">
        <w:rPr>
          <w:b/>
          <w:bCs/>
          <w:sz w:val="22"/>
          <w:szCs w:val="22"/>
        </w:rPr>
        <w:t>portfeļgarantiju</w:t>
      </w:r>
      <w:proofErr w:type="spellEnd"/>
      <w:r w:rsidRPr="0053009E">
        <w:rPr>
          <w:b/>
          <w:bCs/>
          <w:sz w:val="22"/>
          <w:szCs w:val="22"/>
        </w:rPr>
        <w:t xml:space="preserve"> līdz 2028.gada 31.decembrim</w:t>
      </w:r>
      <w:r>
        <w:rPr>
          <w:rStyle w:val="FootnoteReference"/>
          <w:b/>
          <w:bCs/>
          <w:sz w:val="22"/>
          <w:szCs w:val="22"/>
        </w:rPr>
        <w:footnoteReference w:id="7"/>
      </w:r>
      <w:r w:rsidRPr="0053009E">
        <w:rPr>
          <w:b/>
          <w:bCs/>
          <w:sz w:val="22"/>
          <w:szCs w:val="22"/>
        </w:rPr>
        <w:t>:</w:t>
      </w:r>
    </w:p>
    <w:p w14:paraId="272F5CA3" w14:textId="77777777" w:rsidR="0088163A" w:rsidRPr="0053009E" w:rsidRDefault="0088163A" w:rsidP="0088163A">
      <w:pPr>
        <w:pStyle w:val="ListParagraph"/>
        <w:ind w:left="709" w:right="-1050"/>
        <w:jc w:val="both"/>
        <w:rPr>
          <w:sz w:val="22"/>
          <w:szCs w:val="22"/>
        </w:rPr>
      </w:pPr>
    </w:p>
    <w:p w14:paraId="5F019408" w14:textId="77777777" w:rsidR="0088163A" w:rsidRPr="0053009E" w:rsidRDefault="0088163A" w:rsidP="0088163A">
      <w:pPr>
        <w:pStyle w:val="ListParagraph"/>
        <w:numPr>
          <w:ilvl w:val="0"/>
          <w:numId w:val="1"/>
        </w:numPr>
        <w:ind w:left="709" w:right="-1050" w:hanging="709"/>
        <w:jc w:val="both"/>
        <w:rPr>
          <w:b/>
          <w:bCs/>
          <w:sz w:val="22"/>
          <w:szCs w:val="22"/>
        </w:rPr>
      </w:pPr>
      <w:r w:rsidRPr="0053009E">
        <w:rPr>
          <w:b/>
          <w:bCs/>
          <w:sz w:val="22"/>
          <w:szCs w:val="22"/>
        </w:rPr>
        <w:t>Pamatojums ierobežotajai garantijas likmei (</w:t>
      </w:r>
      <w:proofErr w:type="spellStart"/>
      <w:r w:rsidRPr="0053009E">
        <w:rPr>
          <w:b/>
          <w:bCs/>
          <w:i/>
          <w:iCs/>
          <w:sz w:val="22"/>
          <w:szCs w:val="22"/>
        </w:rPr>
        <w:t>cap</w:t>
      </w:r>
      <w:proofErr w:type="spellEnd"/>
      <w:r w:rsidRPr="0053009E">
        <w:rPr>
          <w:b/>
          <w:bCs/>
          <w:i/>
          <w:iCs/>
          <w:sz w:val="22"/>
          <w:szCs w:val="22"/>
        </w:rPr>
        <w:t xml:space="preserve"> </w:t>
      </w:r>
      <w:proofErr w:type="spellStart"/>
      <w:r w:rsidRPr="00C129E4">
        <w:rPr>
          <w:b/>
          <w:sz w:val="22"/>
          <w:szCs w:val="22"/>
        </w:rPr>
        <w:t>rate</w:t>
      </w:r>
      <w:proofErr w:type="spellEnd"/>
      <w:r w:rsidRPr="00C129E4">
        <w:rPr>
          <w:b/>
          <w:bCs/>
          <w:sz w:val="22"/>
          <w:szCs w:val="22"/>
        </w:rPr>
        <w:t>), neatmaksāto zaudējumu atgūšanas likmei (</w:t>
      </w:r>
      <w:proofErr w:type="spellStart"/>
      <w:r w:rsidRPr="00C129E4">
        <w:rPr>
          <w:b/>
          <w:bCs/>
          <w:sz w:val="22"/>
          <w:szCs w:val="22"/>
        </w:rPr>
        <w:t>recovery</w:t>
      </w:r>
      <w:proofErr w:type="spellEnd"/>
      <w:r w:rsidRPr="00C129E4">
        <w:rPr>
          <w:b/>
          <w:bCs/>
          <w:sz w:val="22"/>
          <w:szCs w:val="22"/>
        </w:rPr>
        <w:t xml:space="preserve"> </w:t>
      </w:r>
      <w:proofErr w:type="spellStart"/>
      <w:r w:rsidRPr="00C129E4">
        <w:rPr>
          <w:b/>
          <w:bCs/>
          <w:sz w:val="22"/>
          <w:szCs w:val="22"/>
        </w:rPr>
        <w:t>rate</w:t>
      </w:r>
      <w:proofErr w:type="spellEnd"/>
      <w:r w:rsidRPr="00C129E4">
        <w:rPr>
          <w:b/>
          <w:sz w:val="22"/>
          <w:szCs w:val="22"/>
        </w:rPr>
        <w:t>)</w:t>
      </w:r>
      <w:r w:rsidRPr="0053009E">
        <w:rPr>
          <w:b/>
          <w:bCs/>
          <w:sz w:val="22"/>
          <w:szCs w:val="22"/>
        </w:rPr>
        <w:t xml:space="preserve"> un finansiālās priekšrocības nodošanai kredītu ņēmējiem</w:t>
      </w:r>
      <w:r w:rsidRPr="0053009E">
        <w:rPr>
          <w:rStyle w:val="FootnoteReference"/>
          <w:sz w:val="22"/>
          <w:szCs w:val="22"/>
        </w:rPr>
        <w:footnoteReference w:id="8"/>
      </w:r>
      <w:r w:rsidRPr="0053009E">
        <w:rPr>
          <w:b/>
          <w:bCs/>
          <w:sz w:val="22"/>
          <w:szCs w:val="22"/>
        </w:rPr>
        <w:t>:</w:t>
      </w:r>
    </w:p>
    <w:p w14:paraId="5A98E74C" w14:textId="77777777" w:rsidR="0088163A" w:rsidRPr="0053009E" w:rsidRDefault="0088163A" w:rsidP="0088163A">
      <w:pPr>
        <w:ind w:right="-1050"/>
        <w:jc w:val="both"/>
        <w:rPr>
          <w:b/>
          <w:sz w:val="22"/>
          <w:szCs w:val="22"/>
        </w:rPr>
      </w:pPr>
    </w:p>
    <w:p w14:paraId="36EE3A22" w14:textId="77777777" w:rsidR="0088163A" w:rsidRPr="0053009E" w:rsidRDefault="0088163A" w:rsidP="0088163A">
      <w:pPr>
        <w:pStyle w:val="ListParagraph"/>
        <w:numPr>
          <w:ilvl w:val="1"/>
          <w:numId w:val="1"/>
        </w:numPr>
        <w:ind w:left="1070" w:right="-1050"/>
        <w:jc w:val="both"/>
        <w:rPr>
          <w:sz w:val="22"/>
          <w:szCs w:val="22"/>
        </w:rPr>
      </w:pPr>
      <w:bookmarkStart w:id="0" w:name="_Hlk167286867"/>
      <w:r w:rsidRPr="0053009E">
        <w:rPr>
          <w:sz w:val="22"/>
          <w:szCs w:val="22"/>
        </w:rPr>
        <w:t xml:space="preserve">Balstoties uz vismaz pēdējo 3 gadu datiem </w:t>
      </w:r>
      <w:bookmarkStart w:id="1" w:name="_Hlk167287172"/>
      <w:r w:rsidRPr="0053009E">
        <w:rPr>
          <w:sz w:val="22"/>
          <w:szCs w:val="22"/>
        </w:rPr>
        <w:t>par programmai salīdzināma aizdevumu produktu</w:t>
      </w:r>
      <w:bookmarkEnd w:id="1"/>
      <w:r w:rsidRPr="0053009E">
        <w:rPr>
          <w:sz w:val="22"/>
          <w:szCs w:val="22"/>
        </w:rPr>
        <w:t>:</w:t>
      </w:r>
    </w:p>
    <w:p w14:paraId="6C38F6ED" w14:textId="77777777" w:rsidR="0088163A" w:rsidRPr="0053009E" w:rsidRDefault="0088163A" w:rsidP="0088163A">
      <w:pPr>
        <w:pStyle w:val="ListParagraph"/>
        <w:numPr>
          <w:ilvl w:val="2"/>
          <w:numId w:val="1"/>
        </w:numPr>
        <w:ind w:right="-1050"/>
        <w:jc w:val="both"/>
        <w:rPr>
          <w:sz w:val="22"/>
          <w:szCs w:val="22"/>
        </w:rPr>
      </w:pPr>
      <w:r w:rsidRPr="0053009E">
        <w:rPr>
          <w:sz w:val="22"/>
          <w:szCs w:val="22"/>
        </w:rPr>
        <w:t xml:space="preserve">detalizēta informācija par saistību neizpildi (PD), t.sk. norādīt (ja iespējams) viena mēneša </w:t>
      </w:r>
      <w:r w:rsidRPr="0053009E">
        <w:rPr>
          <w:rStyle w:val="ui-provider"/>
          <w:sz w:val="22"/>
          <w:szCs w:val="22"/>
        </w:rPr>
        <w:t>migrāciju matrica, balstoties uz vēsturiskajiem datiem par darījumu migrāciju pa kavējuma dienu grupām (DPD) un uz saistību neizpildes stāvokli;</w:t>
      </w:r>
      <w:r w:rsidRPr="0053009E">
        <w:rPr>
          <w:sz w:val="22"/>
          <w:szCs w:val="22"/>
        </w:rPr>
        <w:t xml:space="preserve">  </w:t>
      </w:r>
    </w:p>
    <w:p w14:paraId="6065D45D" w14:textId="77777777" w:rsidR="0088163A" w:rsidRPr="0053009E" w:rsidRDefault="0088163A" w:rsidP="0088163A">
      <w:pPr>
        <w:pStyle w:val="ListParagraph"/>
        <w:numPr>
          <w:ilvl w:val="2"/>
          <w:numId w:val="1"/>
        </w:numPr>
        <w:ind w:left="1843" w:right="-1050"/>
        <w:jc w:val="both"/>
        <w:rPr>
          <w:sz w:val="22"/>
          <w:szCs w:val="22"/>
        </w:rPr>
      </w:pPr>
      <w:r w:rsidRPr="0053009E">
        <w:rPr>
          <w:sz w:val="22"/>
          <w:szCs w:val="22"/>
        </w:rPr>
        <w:t>saistību neizpildes definīcija (kas tiek uzskatīts par saistību neizpildi);</w:t>
      </w:r>
      <w:bookmarkEnd w:id="0"/>
    </w:p>
    <w:p w14:paraId="3D90CDC6" w14:textId="77777777" w:rsidR="0088163A" w:rsidRPr="0053009E" w:rsidRDefault="0088163A" w:rsidP="0088163A">
      <w:pPr>
        <w:pStyle w:val="ListParagraph"/>
        <w:numPr>
          <w:ilvl w:val="1"/>
          <w:numId w:val="1"/>
        </w:numPr>
        <w:ind w:left="1070"/>
        <w:jc w:val="both"/>
        <w:rPr>
          <w:sz w:val="22"/>
          <w:szCs w:val="22"/>
        </w:rPr>
      </w:pPr>
      <w:bookmarkStart w:id="2" w:name="_Hlk167287389"/>
      <w:bookmarkStart w:id="3" w:name="_Hlk167286935"/>
      <w:r w:rsidRPr="0053009E">
        <w:rPr>
          <w:sz w:val="22"/>
          <w:szCs w:val="22"/>
        </w:rPr>
        <w:t xml:space="preserve">Pamatojums piedāvātajai </w:t>
      </w:r>
      <w:r w:rsidRPr="0053009E">
        <w:rPr>
          <w:sz w:val="21"/>
          <w:szCs w:val="21"/>
        </w:rPr>
        <w:t>ierobežotajai garantiju likmei (</w:t>
      </w:r>
      <w:proofErr w:type="spellStart"/>
      <w:r w:rsidRPr="0053009E">
        <w:rPr>
          <w:i/>
          <w:iCs/>
          <w:sz w:val="22"/>
          <w:szCs w:val="22"/>
        </w:rPr>
        <w:t>cap</w:t>
      </w:r>
      <w:proofErr w:type="spellEnd"/>
      <w:r w:rsidRPr="0053009E">
        <w:rPr>
          <w:i/>
          <w:iCs/>
          <w:sz w:val="22"/>
          <w:szCs w:val="22"/>
        </w:rPr>
        <w:t xml:space="preserve"> </w:t>
      </w:r>
      <w:proofErr w:type="spellStart"/>
      <w:r w:rsidRPr="0053009E">
        <w:rPr>
          <w:i/>
          <w:iCs/>
          <w:sz w:val="22"/>
          <w:szCs w:val="22"/>
        </w:rPr>
        <w:t>rate</w:t>
      </w:r>
      <w:bookmarkEnd w:id="2"/>
      <w:proofErr w:type="spellEnd"/>
      <w:r w:rsidRPr="0053009E">
        <w:rPr>
          <w:i/>
          <w:iCs/>
          <w:sz w:val="22"/>
          <w:szCs w:val="22"/>
        </w:rPr>
        <w:t xml:space="preserve">), </w:t>
      </w:r>
      <w:r w:rsidRPr="0053009E">
        <w:rPr>
          <w:sz w:val="21"/>
          <w:szCs w:val="21"/>
        </w:rPr>
        <w:t>plānotajai neatmaksāto zaudējumu atgūšanas likmei</w:t>
      </w:r>
      <w:r w:rsidRPr="0053009E">
        <w:rPr>
          <w:i/>
          <w:sz w:val="22"/>
          <w:szCs w:val="22"/>
        </w:rPr>
        <w:t xml:space="preserve"> </w:t>
      </w:r>
      <w:r w:rsidRPr="0053009E">
        <w:rPr>
          <w:i/>
          <w:iCs/>
          <w:sz w:val="22"/>
          <w:szCs w:val="22"/>
        </w:rPr>
        <w:t>(</w:t>
      </w:r>
      <w:proofErr w:type="spellStart"/>
      <w:r w:rsidRPr="0053009E">
        <w:rPr>
          <w:i/>
          <w:iCs/>
          <w:sz w:val="22"/>
          <w:szCs w:val="22"/>
        </w:rPr>
        <w:t>recovery</w:t>
      </w:r>
      <w:proofErr w:type="spellEnd"/>
      <w:r w:rsidRPr="0053009E">
        <w:rPr>
          <w:i/>
          <w:iCs/>
          <w:sz w:val="22"/>
          <w:szCs w:val="22"/>
        </w:rPr>
        <w:t xml:space="preserve"> </w:t>
      </w:r>
      <w:proofErr w:type="spellStart"/>
      <w:r w:rsidRPr="0053009E">
        <w:rPr>
          <w:i/>
          <w:iCs/>
          <w:sz w:val="22"/>
          <w:szCs w:val="22"/>
        </w:rPr>
        <w:t>rate</w:t>
      </w:r>
      <w:proofErr w:type="spellEnd"/>
      <w:r w:rsidRPr="0053009E">
        <w:rPr>
          <w:i/>
          <w:iCs/>
          <w:sz w:val="22"/>
          <w:szCs w:val="22"/>
        </w:rPr>
        <w:t>)</w:t>
      </w:r>
      <w:r w:rsidRPr="0053009E">
        <w:rPr>
          <w:sz w:val="22"/>
          <w:szCs w:val="22"/>
        </w:rPr>
        <w:t>, finansiālo priekšrocību nodošanai kredītu ņēmējiem</w:t>
      </w:r>
      <w:bookmarkEnd w:id="3"/>
      <w:r w:rsidRPr="0053009E">
        <w:rPr>
          <w:sz w:val="22"/>
          <w:szCs w:val="22"/>
        </w:rPr>
        <w:t>.</w:t>
      </w:r>
    </w:p>
    <w:p w14:paraId="77330489" w14:textId="77777777" w:rsidR="0088163A" w:rsidRPr="0053009E" w:rsidRDefault="0088163A" w:rsidP="0088163A">
      <w:pPr>
        <w:jc w:val="both"/>
        <w:rPr>
          <w:sz w:val="22"/>
          <w:szCs w:val="22"/>
        </w:rPr>
      </w:pPr>
    </w:p>
    <w:p w14:paraId="7B41F347" w14:textId="77777777" w:rsidR="0088163A" w:rsidRPr="0053009E" w:rsidRDefault="0088163A" w:rsidP="0088163A">
      <w:pPr>
        <w:pStyle w:val="ListParagraph"/>
        <w:numPr>
          <w:ilvl w:val="0"/>
          <w:numId w:val="1"/>
        </w:numPr>
        <w:ind w:left="709" w:hanging="709"/>
        <w:jc w:val="both"/>
        <w:rPr>
          <w:b/>
          <w:bCs/>
          <w:sz w:val="22"/>
          <w:szCs w:val="22"/>
        </w:rPr>
      </w:pPr>
      <w:r w:rsidRPr="0053009E">
        <w:rPr>
          <w:b/>
          <w:sz w:val="22"/>
          <w:szCs w:val="22"/>
        </w:rPr>
        <w:t xml:space="preserve">Studiju un studējošo kreditēšanas </w:t>
      </w:r>
      <w:proofErr w:type="spellStart"/>
      <w:r w:rsidRPr="0053009E">
        <w:rPr>
          <w:b/>
          <w:sz w:val="22"/>
          <w:szCs w:val="22"/>
        </w:rPr>
        <w:t>portfeļgarantiju</w:t>
      </w:r>
      <w:proofErr w:type="spellEnd"/>
      <w:r w:rsidRPr="0053009E">
        <w:rPr>
          <w:b/>
          <w:sz w:val="22"/>
          <w:szCs w:val="22"/>
        </w:rPr>
        <w:t xml:space="preserve"> ieviešanas stratēģija:</w:t>
      </w:r>
      <w:r w:rsidRPr="0053009E">
        <w:rPr>
          <w:bCs/>
          <w:sz w:val="22"/>
          <w:szCs w:val="22"/>
        </w:rPr>
        <w:t xml:space="preserve"> </w:t>
      </w:r>
    </w:p>
    <w:p w14:paraId="2C1EE035" w14:textId="77777777" w:rsidR="0088163A" w:rsidRPr="0053009E" w:rsidRDefault="0088163A" w:rsidP="0088163A">
      <w:pPr>
        <w:pStyle w:val="ListParagraph"/>
        <w:numPr>
          <w:ilvl w:val="1"/>
          <w:numId w:val="1"/>
        </w:numPr>
        <w:jc w:val="both"/>
        <w:rPr>
          <w:b/>
          <w:bCs/>
          <w:sz w:val="22"/>
          <w:szCs w:val="22"/>
        </w:rPr>
      </w:pPr>
      <w:r w:rsidRPr="0053009E">
        <w:rPr>
          <w:bCs/>
          <w:sz w:val="22"/>
          <w:szCs w:val="22"/>
        </w:rPr>
        <w:lastRenderedPageBreak/>
        <w:t xml:space="preserve">Iekšēji veicamās darbības, mārketings, sadarbība ar partneriem u.c. nepieciešamās darbības kredītu piešķiršanas uzsākšanai u.c. </w:t>
      </w:r>
    </w:p>
    <w:p w14:paraId="378C1D02" w14:textId="77777777" w:rsidR="0088163A" w:rsidRPr="0053009E" w:rsidRDefault="0088163A" w:rsidP="0088163A">
      <w:pPr>
        <w:pStyle w:val="ListParagraph"/>
        <w:numPr>
          <w:ilvl w:val="1"/>
          <w:numId w:val="1"/>
        </w:numPr>
        <w:jc w:val="both"/>
        <w:rPr>
          <w:b/>
          <w:bCs/>
          <w:sz w:val="22"/>
          <w:szCs w:val="22"/>
        </w:rPr>
      </w:pPr>
      <w:r w:rsidRPr="0053009E">
        <w:rPr>
          <w:bCs/>
          <w:sz w:val="22"/>
          <w:szCs w:val="22"/>
        </w:rPr>
        <w:t>Nepieciešamās IT izstrādes u.c.</w:t>
      </w:r>
    </w:p>
    <w:p w14:paraId="1541A1B5" w14:textId="77777777" w:rsidR="0088163A" w:rsidRPr="0053009E" w:rsidRDefault="0088163A" w:rsidP="0088163A">
      <w:pPr>
        <w:pStyle w:val="ListParagraph"/>
        <w:ind w:left="1080" w:right="-908"/>
        <w:jc w:val="both"/>
        <w:rPr>
          <w:bCs/>
          <w:sz w:val="22"/>
          <w:szCs w:val="22"/>
        </w:rPr>
      </w:pPr>
    </w:p>
    <w:p w14:paraId="11E55747" w14:textId="77777777" w:rsidR="0088163A" w:rsidRPr="0053009E" w:rsidRDefault="0088163A" w:rsidP="0088163A">
      <w:pPr>
        <w:pStyle w:val="ListParagraph"/>
        <w:numPr>
          <w:ilvl w:val="0"/>
          <w:numId w:val="1"/>
        </w:numPr>
        <w:ind w:right="-908"/>
        <w:jc w:val="both"/>
        <w:rPr>
          <w:b/>
        </w:rPr>
      </w:pPr>
      <w:r w:rsidRPr="0053009E">
        <w:rPr>
          <w:b/>
          <w:sz w:val="22"/>
          <w:szCs w:val="22"/>
        </w:rPr>
        <w:t xml:space="preserve">Iesniedzot šo pieteikumu, Pretendents </w:t>
      </w:r>
      <w:r w:rsidRPr="0053009E">
        <w:rPr>
          <w:b/>
        </w:rPr>
        <w:t xml:space="preserve">piesakās dalībai studiju un studējošo kreditēšanas </w:t>
      </w:r>
      <w:proofErr w:type="spellStart"/>
      <w:r w:rsidRPr="0053009E">
        <w:rPr>
          <w:b/>
        </w:rPr>
        <w:t>portfeļgarantiju</w:t>
      </w:r>
      <w:proofErr w:type="spellEnd"/>
      <w:r w:rsidRPr="0053009E">
        <w:rPr>
          <w:b/>
        </w:rPr>
        <w:t xml:space="preserve"> programmai un apliecina, ka:</w:t>
      </w:r>
    </w:p>
    <w:p w14:paraId="2651ECF3"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tas ir tiesīgs sniegt studiju un studējošo kreditēšanas pakalpojumus Latvijā.</w:t>
      </w:r>
    </w:p>
    <w:p w14:paraId="2FFBFBEC"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tas visu finansiālo labumu nodos kredītu ņēmējiem.</w:t>
      </w:r>
    </w:p>
    <w:p w14:paraId="70FC57CF"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visa pieteikumā norādītā informācija ir precīza un patiesa.</w:t>
      </w:r>
    </w:p>
    <w:p w14:paraId="1BC1A08E"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gadījumā, ja tam tiks piešķirtas līguma slēgšanas tiesības, piekrīt izpildīt MK noteikumos norādītās prasības.</w:t>
      </w:r>
    </w:p>
    <w:p w14:paraId="6E3920E7" w14:textId="77777777" w:rsidR="0088163A" w:rsidRPr="0053009E" w:rsidRDefault="0088163A" w:rsidP="0088163A">
      <w:pPr>
        <w:numPr>
          <w:ilvl w:val="1"/>
          <w:numId w:val="1"/>
        </w:numPr>
        <w:ind w:left="1276" w:right="-908" w:hanging="556"/>
        <w:jc w:val="both"/>
        <w:rPr>
          <w:sz w:val="22"/>
          <w:szCs w:val="22"/>
        </w:rPr>
      </w:pPr>
      <w:r w:rsidRPr="0053009E">
        <w:rPr>
          <w:sz w:val="22"/>
          <w:szCs w:val="22"/>
        </w:rPr>
        <w:t xml:space="preserve">tam nav pasludināts maksātnespējas process, ar tiesas spriedumu netiek īstenots tiesiskās aizsardzības process, ar tiesas lēmumu netiek īstenots </w:t>
      </w:r>
      <w:proofErr w:type="spellStart"/>
      <w:r w:rsidRPr="0053009E">
        <w:rPr>
          <w:sz w:val="22"/>
          <w:szCs w:val="22"/>
        </w:rPr>
        <w:t>ārpustiesas</w:t>
      </w:r>
      <w:proofErr w:type="spellEnd"/>
      <w:r w:rsidRPr="0053009E">
        <w:rPr>
          <w:sz w:val="22"/>
          <w:szCs w:val="22"/>
        </w:rPr>
        <w:t xml:space="preserve"> tiesiskās aizsardzības process, nav apturēta vai pārtraukta pretendenta saimnieciskā darbība, nav uzsākta tiesvedība par pretendenta  bankrotu, nav piemērota sanācija vai izlīgums vai līdz līguma izpildes paredzamajam beigu termiņam nebūs likvidācija.</w:t>
      </w:r>
    </w:p>
    <w:p w14:paraId="20B03C66"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tiek izpildītas visas uzraugošo institūciju noteiktās reglamentējošās prasības, tai skaitā uzraugošās institūcijas nav noteikušas darbības ierobežojumus.</w:t>
      </w:r>
    </w:p>
    <w:p w14:paraId="2409DFE9" w14:textId="77777777" w:rsidR="0088163A" w:rsidRPr="0053009E" w:rsidRDefault="0088163A" w:rsidP="0088163A">
      <w:pPr>
        <w:pStyle w:val="ListParagraph"/>
        <w:numPr>
          <w:ilvl w:val="1"/>
          <w:numId w:val="1"/>
        </w:numPr>
        <w:ind w:left="1276" w:right="-908" w:hanging="556"/>
        <w:jc w:val="both"/>
        <w:rPr>
          <w:sz w:val="22"/>
          <w:szCs w:val="22"/>
        </w:rPr>
      </w:pPr>
      <w:r w:rsidRPr="0053009E">
        <w:rPr>
          <w:sz w:val="22"/>
          <w:szCs w:val="22"/>
        </w:rPr>
        <w:t>tas finanšu pakalpojumu sniegs no Pretendenta resursiem savā vārdā, ievērojot, ka vismaz 10% no katra finanšu pakalpojuma ir Pretendenta riska daļa.</w:t>
      </w:r>
    </w:p>
    <w:p w14:paraId="29DFB2BB" w14:textId="77777777" w:rsidR="0088163A" w:rsidRPr="0053009E" w:rsidRDefault="0088163A" w:rsidP="0088163A">
      <w:pPr>
        <w:pStyle w:val="ListParagraph"/>
        <w:numPr>
          <w:ilvl w:val="1"/>
          <w:numId w:val="1"/>
        </w:numPr>
        <w:shd w:val="clear" w:color="auto" w:fill="FFFFFF"/>
        <w:ind w:left="1276" w:right="-908" w:hanging="556"/>
        <w:jc w:val="both"/>
        <w:rPr>
          <w:sz w:val="22"/>
          <w:szCs w:val="22"/>
        </w:rPr>
      </w:pPr>
      <w:r w:rsidRPr="0053009E">
        <w:rPr>
          <w:sz w:val="22"/>
          <w:szCs w:val="22"/>
        </w:rPr>
        <w:t xml:space="preserve">tas sabiedrībai un institūcijām, kurām ir tiesības veikt auditus un pārbaudes sabiedrībā, nodrošinātās iespējas veikt pārbaudes par studiju un studējošo kreditēšanas </w:t>
      </w:r>
      <w:proofErr w:type="spellStart"/>
      <w:r w:rsidRPr="0053009E">
        <w:rPr>
          <w:sz w:val="22"/>
          <w:szCs w:val="22"/>
        </w:rPr>
        <w:t>portfeļgarantiju</w:t>
      </w:r>
      <w:proofErr w:type="spellEnd"/>
      <w:r w:rsidRPr="0053009E">
        <w:rPr>
          <w:sz w:val="22"/>
          <w:szCs w:val="22"/>
        </w:rPr>
        <w:t xml:space="preserve"> ietvaros izsniegtajiem finanšu pakalpojumiem, t.sk. par visa saņemtā atbalsta un finansiālo priekšrocību nodošanu kredītu ņēmējiem.</w:t>
      </w:r>
    </w:p>
    <w:p w14:paraId="05D8758C" w14:textId="77777777" w:rsidR="0088163A" w:rsidRPr="0053009E" w:rsidRDefault="0088163A" w:rsidP="0088163A">
      <w:pPr>
        <w:pStyle w:val="ListParagraph"/>
        <w:numPr>
          <w:ilvl w:val="1"/>
          <w:numId w:val="1"/>
        </w:numPr>
        <w:shd w:val="clear" w:color="auto" w:fill="FFFFFF"/>
        <w:ind w:left="1276" w:right="-908" w:hanging="556"/>
        <w:jc w:val="both"/>
        <w:rPr>
          <w:sz w:val="22"/>
          <w:szCs w:val="22"/>
        </w:rPr>
      </w:pPr>
      <w:r w:rsidRPr="0053009E">
        <w:rPr>
          <w:sz w:val="22"/>
          <w:szCs w:val="22"/>
        </w:rPr>
        <w:t>tas nodrošinās publiskās prasības atbilstoši finansējuma nosacījumiem.</w:t>
      </w:r>
    </w:p>
    <w:p w14:paraId="5C222585" w14:textId="77777777" w:rsidR="0088163A" w:rsidRPr="0053009E" w:rsidRDefault="0088163A" w:rsidP="0088163A">
      <w:pPr>
        <w:pStyle w:val="ListParagraph"/>
        <w:tabs>
          <w:tab w:val="left" w:pos="6945"/>
        </w:tabs>
        <w:ind w:left="0"/>
        <w:rPr>
          <w:sz w:val="22"/>
          <w:szCs w:val="22"/>
        </w:rPr>
      </w:pPr>
    </w:p>
    <w:tbl>
      <w:tblPr>
        <w:tblW w:w="850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3"/>
        <w:gridCol w:w="6372"/>
      </w:tblGrid>
      <w:tr w:rsidR="0088163A" w:rsidRPr="0053009E" w14:paraId="33A84DB8" w14:textId="77777777" w:rsidTr="0088163A">
        <w:trPr>
          <w:trHeight w:val="171"/>
        </w:trPr>
        <w:tc>
          <w:tcPr>
            <w:tcW w:w="2133" w:type="dxa"/>
          </w:tcPr>
          <w:p w14:paraId="250638DC" w14:textId="77777777" w:rsidR="0088163A" w:rsidRPr="0053009E" w:rsidRDefault="0088163A" w:rsidP="00C57059">
            <w:pPr>
              <w:pStyle w:val="ListParagraph"/>
              <w:tabs>
                <w:tab w:val="left" w:pos="6945"/>
              </w:tabs>
              <w:ind w:left="0"/>
              <w:contextualSpacing w:val="0"/>
              <w:rPr>
                <w:b/>
                <w:bCs/>
                <w:sz w:val="22"/>
                <w:szCs w:val="22"/>
              </w:rPr>
            </w:pPr>
            <w:r w:rsidRPr="0053009E">
              <w:rPr>
                <w:b/>
                <w:bCs/>
                <w:sz w:val="22"/>
                <w:szCs w:val="22"/>
              </w:rPr>
              <w:t>Vārds, Uzvārds</w:t>
            </w:r>
          </w:p>
        </w:tc>
        <w:tc>
          <w:tcPr>
            <w:tcW w:w="6372" w:type="dxa"/>
          </w:tcPr>
          <w:p w14:paraId="7AC005B8" w14:textId="77777777" w:rsidR="0088163A" w:rsidRPr="0053009E" w:rsidRDefault="0088163A" w:rsidP="00C57059">
            <w:pPr>
              <w:pStyle w:val="ListParagraph"/>
              <w:tabs>
                <w:tab w:val="left" w:pos="6945"/>
              </w:tabs>
              <w:ind w:left="0"/>
              <w:contextualSpacing w:val="0"/>
              <w:rPr>
                <w:sz w:val="22"/>
                <w:szCs w:val="22"/>
              </w:rPr>
            </w:pPr>
          </w:p>
        </w:tc>
      </w:tr>
      <w:tr w:rsidR="0088163A" w:rsidRPr="0053009E" w14:paraId="03F59D4E" w14:textId="77777777" w:rsidTr="0088163A">
        <w:tc>
          <w:tcPr>
            <w:tcW w:w="2133" w:type="dxa"/>
          </w:tcPr>
          <w:p w14:paraId="5ABA58A5" w14:textId="77777777" w:rsidR="0088163A" w:rsidRPr="0053009E" w:rsidRDefault="0088163A" w:rsidP="00C57059">
            <w:pPr>
              <w:pStyle w:val="ListParagraph"/>
              <w:tabs>
                <w:tab w:val="left" w:pos="6945"/>
              </w:tabs>
              <w:ind w:left="0"/>
              <w:contextualSpacing w:val="0"/>
              <w:rPr>
                <w:b/>
                <w:bCs/>
                <w:sz w:val="22"/>
                <w:szCs w:val="22"/>
              </w:rPr>
            </w:pPr>
            <w:r w:rsidRPr="0053009E">
              <w:rPr>
                <w:b/>
                <w:bCs/>
                <w:sz w:val="22"/>
                <w:szCs w:val="22"/>
              </w:rPr>
              <w:t>Ieņemamais amats</w:t>
            </w:r>
          </w:p>
        </w:tc>
        <w:tc>
          <w:tcPr>
            <w:tcW w:w="6372" w:type="dxa"/>
          </w:tcPr>
          <w:p w14:paraId="39E792C0" w14:textId="77777777" w:rsidR="0088163A" w:rsidRPr="0053009E" w:rsidRDefault="0088163A" w:rsidP="00C57059">
            <w:pPr>
              <w:pStyle w:val="ListParagraph"/>
              <w:tabs>
                <w:tab w:val="left" w:pos="6945"/>
              </w:tabs>
              <w:ind w:left="0"/>
              <w:contextualSpacing w:val="0"/>
              <w:rPr>
                <w:sz w:val="22"/>
                <w:szCs w:val="22"/>
              </w:rPr>
            </w:pPr>
          </w:p>
        </w:tc>
      </w:tr>
    </w:tbl>
    <w:p w14:paraId="00A06CBE" w14:textId="77777777" w:rsidR="0088163A" w:rsidRPr="0053009E" w:rsidRDefault="0088163A" w:rsidP="0088163A">
      <w:pPr>
        <w:jc w:val="both"/>
        <w:rPr>
          <w:sz w:val="22"/>
          <w:szCs w:val="22"/>
        </w:rPr>
      </w:pPr>
    </w:p>
    <w:p w14:paraId="2578595E" w14:textId="77777777" w:rsidR="0088163A" w:rsidRPr="0053009E" w:rsidRDefault="0088163A" w:rsidP="0088163A">
      <w:pPr>
        <w:rPr>
          <w:i/>
        </w:rPr>
      </w:pPr>
    </w:p>
    <w:p w14:paraId="13051575" w14:textId="2E139DA2" w:rsidR="00FA5B7E" w:rsidRPr="0088163A" w:rsidRDefault="0088163A" w:rsidP="0088163A">
      <w:pPr>
        <w:tabs>
          <w:tab w:val="left" w:pos="1035"/>
        </w:tabs>
        <w:jc w:val="center"/>
        <w:rPr>
          <w:sz w:val="20"/>
          <w:szCs w:val="20"/>
        </w:rPr>
      </w:pPr>
      <w:r w:rsidRPr="0053009E">
        <w:rPr>
          <w:sz w:val="20"/>
          <w:szCs w:val="20"/>
        </w:rPr>
        <w:t>DOKUMENTS PARAKSTĪITS ELEKTRONISKI AR DROŠU ELEKTRONISKO PARAKSTU UN SATUR LAIKA ZĪMOGU</w:t>
      </w:r>
    </w:p>
    <w:sectPr w:rsidR="00FA5B7E" w:rsidRPr="0088163A" w:rsidSect="0088163A">
      <w:pgSz w:w="11906" w:h="16838"/>
      <w:pgMar w:top="851"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00626" w14:textId="77777777" w:rsidR="0088163A" w:rsidRDefault="0088163A" w:rsidP="0088163A">
      <w:r>
        <w:separator/>
      </w:r>
    </w:p>
  </w:endnote>
  <w:endnote w:type="continuationSeparator" w:id="0">
    <w:p w14:paraId="03C07D48" w14:textId="77777777" w:rsidR="0088163A" w:rsidRDefault="0088163A" w:rsidP="0088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E8080" w14:textId="77777777" w:rsidR="0088163A" w:rsidRDefault="0088163A" w:rsidP="0088163A">
      <w:r>
        <w:separator/>
      </w:r>
    </w:p>
  </w:footnote>
  <w:footnote w:type="continuationSeparator" w:id="0">
    <w:p w14:paraId="20F7F4B1" w14:textId="77777777" w:rsidR="0088163A" w:rsidRDefault="0088163A" w:rsidP="0088163A">
      <w:r>
        <w:continuationSeparator/>
      </w:r>
    </w:p>
  </w:footnote>
  <w:footnote w:id="1">
    <w:p w14:paraId="1A7596F7" w14:textId="77777777" w:rsidR="0088163A" w:rsidRPr="0088163A" w:rsidRDefault="0088163A" w:rsidP="0088163A">
      <w:pPr>
        <w:pStyle w:val="FootnoteText"/>
        <w:ind w:right="-1050"/>
        <w:jc w:val="both"/>
        <w:rPr>
          <w:sz w:val="16"/>
          <w:szCs w:val="16"/>
        </w:rPr>
      </w:pPr>
      <w:r w:rsidRPr="0088163A">
        <w:rPr>
          <w:rStyle w:val="FootnoteReference"/>
          <w:sz w:val="16"/>
          <w:szCs w:val="16"/>
        </w:rPr>
        <w:footnoteRef/>
      </w:r>
      <w:r w:rsidRPr="0088163A">
        <w:rPr>
          <w:sz w:val="16"/>
          <w:szCs w:val="16"/>
        </w:rPr>
        <w:t xml:space="preserve"> </w:t>
      </w:r>
      <w:hyperlink r:id="rId1" w:history="1">
        <w:r w:rsidRPr="0088163A">
          <w:rPr>
            <w:sz w:val="16"/>
            <w:szCs w:val="16"/>
          </w:rPr>
          <w:t>MK noteikumu</w:t>
        </w:r>
      </w:hyperlink>
      <w:r w:rsidRPr="0088163A">
        <w:rPr>
          <w:sz w:val="16"/>
          <w:szCs w:val="16"/>
        </w:rPr>
        <w:t xml:space="preserve"> 31.punkts: </w:t>
      </w:r>
      <w:r w:rsidRPr="0088163A">
        <w:rPr>
          <w:i/>
          <w:iCs/>
          <w:sz w:val="16"/>
          <w:szCs w:val="16"/>
        </w:rPr>
        <w:t>31. Kredītu procentu likme ir mainīga. Likmi veido fiksētā daļa, kas nepārsniedz 3,5 % gadā, un mainīgā daļa EURIBOR vai tai līdzvērtīgs finanšu naudas tirgus indekss. Ja procentu likmes mainīgā daļa ir ar negatīvu vērtību, tad procentu likmes apmērs ir vienāds ar procentu likmes fiksēto daļu.</w:t>
      </w:r>
    </w:p>
  </w:footnote>
  <w:footnote w:id="2">
    <w:p w14:paraId="2C2D394B" w14:textId="77777777" w:rsidR="0088163A" w:rsidRPr="0088163A" w:rsidRDefault="0088163A" w:rsidP="0088163A">
      <w:pPr>
        <w:pStyle w:val="FootnoteText"/>
        <w:ind w:right="-1050"/>
        <w:jc w:val="both"/>
        <w:rPr>
          <w:sz w:val="16"/>
          <w:szCs w:val="16"/>
        </w:rPr>
      </w:pPr>
      <w:r w:rsidRPr="0088163A">
        <w:rPr>
          <w:rStyle w:val="FootnoteReference"/>
          <w:sz w:val="16"/>
          <w:szCs w:val="16"/>
        </w:rPr>
        <w:footnoteRef/>
      </w:r>
      <w:r w:rsidRPr="0088163A">
        <w:rPr>
          <w:sz w:val="16"/>
          <w:szCs w:val="16"/>
        </w:rPr>
        <w:t xml:space="preserve"> MK noteikumu 37.punkts:  </w:t>
      </w:r>
      <w:r w:rsidRPr="0088163A">
        <w:rPr>
          <w:i/>
          <w:iCs/>
          <w:sz w:val="16"/>
          <w:szCs w:val="16"/>
        </w:rPr>
        <w:t>37.Kredīta garantijas likme kredītiem nepārsniedz 90 %.</w:t>
      </w:r>
    </w:p>
  </w:footnote>
  <w:footnote w:id="3">
    <w:p w14:paraId="5DFBACE0" w14:textId="77777777" w:rsidR="0088163A" w:rsidRPr="0088163A" w:rsidRDefault="0088163A" w:rsidP="0088163A">
      <w:pPr>
        <w:pStyle w:val="FootnoteText"/>
        <w:ind w:right="-1050"/>
        <w:jc w:val="both"/>
        <w:rPr>
          <w:sz w:val="16"/>
          <w:szCs w:val="16"/>
        </w:rPr>
      </w:pPr>
      <w:r w:rsidRPr="0088163A">
        <w:rPr>
          <w:rStyle w:val="FootnoteReference"/>
          <w:sz w:val="16"/>
          <w:szCs w:val="16"/>
        </w:rPr>
        <w:footnoteRef/>
      </w:r>
      <w:r w:rsidRPr="0088163A">
        <w:rPr>
          <w:sz w:val="16"/>
          <w:szCs w:val="16"/>
        </w:rPr>
        <w:t xml:space="preserve"> MK noteikumu 53.1.punkts: </w:t>
      </w:r>
      <w:r w:rsidRPr="0088163A">
        <w:rPr>
          <w:i/>
          <w:iCs/>
          <w:sz w:val="16"/>
          <w:szCs w:val="16"/>
        </w:rPr>
        <w:t>53.1. ierobežotā garantijas likme nepārsniedz 25 %;</w:t>
      </w:r>
    </w:p>
  </w:footnote>
  <w:footnote w:id="4">
    <w:p w14:paraId="1B23FF88" w14:textId="77777777" w:rsidR="0088163A" w:rsidRPr="0088163A" w:rsidRDefault="0088163A" w:rsidP="0088163A">
      <w:pPr>
        <w:pStyle w:val="FootnoteText"/>
        <w:ind w:right="-1050"/>
        <w:rPr>
          <w:sz w:val="16"/>
          <w:szCs w:val="16"/>
        </w:rPr>
      </w:pPr>
      <w:r w:rsidRPr="0088163A">
        <w:rPr>
          <w:rStyle w:val="FootnoteReference"/>
          <w:sz w:val="16"/>
          <w:szCs w:val="16"/>
        </w:rPr>
        <w:footnoteRef/>
      </w:r>
      <w:r w:rsidRPr="0088163A">
        <w:rPr>
          <w:sz w:val="16"/>
          <w:szCs w:val="16"/>
        </w:rPr>
        <w:t xml:space="preserve"> Vai norāda citā četru gadu periodā atbilstoši pretendenta plānotajam programmas ieviešanas termiņam, ņemot vērā pieteikuma iesniegšanas termiņu līdz 31.03.2026.. </w:t>
      </w:r>
    </w:p>
  </w:footnote>
  <w:footnote w:id="5">
    <w:p w14:paraId="4F0EC0A6" w14:textId="77777777" w:rsidR="0088163A" w:rsidRPr="0088163A" w:rsidRDefault="0088163A" w:rsidP="0088163A">
      <w:pPr>
        <w:pStyle w:val="FootnoteText"/>
        <w:ind w:right="-1050"/>
        <w:jc w:val="both"/>
        <w:rPr>
          <w:sz w:val="16"/>
          <w:szCs w:val="16"/>
        </w:rPr>
      </w:pPr>
      <w:r w:rsidRPr="0088163A">
        <w:rPr>
          <w:rStyle w:val="FootnoteReference"/>
          <w:sz w:val="16"/>
          <w:szCs w:val="16"/>
        </w:rPr>
        <w:footnoteRef/>
      </w:r>
      <w:r w:rsidRPr="0088163A">
        <w:rPr>
          <w:sz w:val="16"/>
          <w:szCs w:val="16"/>
        </w:rPr>
        <w:t xml:space="preserve"> Informācija nepieciešama saskaņā ar MK noteikumu 54.punktu: </w:t>
      </w:r>
      <w:r w:rsidRPr="0088163A">
        <w:rPr>
          <w:i/>
          <w:iCs/>
          <w:sz w:val="16"/>
          <w:szCs w:val="16"/>
        </w:rPr>
        <w:t xml:space="preserve">54. Līgumā ar kredītiestādi sabiedrība "Altum" paredz, ka aizdevumu portfeli kredītiestāde </w:t>
      </w:r>
      <w:r w:rsidRPr="0088163A">
        <w:rPr>
          <w:i/>
          <w:iCs/>
          <w:sz w:val="16"/>
          <w:szCs w:val="16"/>
          <w:u w:val="single"/>
        </w:rPr>
        <w:t>veido atbilstoši līdzšinējai kredītpolitikai</w:t>
      </w:r>
      <w:r w:rsidRPr="0088163A">
        <w:rPr>
          <w:i/>
          <w:iCs/>
          <w:sz w:val="16"/>
          <w:szCs w:val="16"/>
        </w:rPr>
        <w:t>, visas finansiālās priekšrocības nododot kredītu ņēmējiem, un nodrošina iespēju sabiedrībai "Altum" veikt pārbaudes, kā arī sniedz sabiedrībai "Altum" pārskatus par programmas īstenošanu. Minētie nosacījumi paliek spēkā visā finanšu pakalpojuma sniegšanas periodā.</w:t>
      </w:r>
      <w:r w:rsidRPr="0088163A">
        <w:rPr>
          <w:sz w:val="16"/>
          <w:szCs w:val="16"/>
        </w:rPr>
        <w:t xml:space="preserve"> </w:t>
      </w:r>
    </w:p>
  </w:footnote>
  <w:footnote w:id="6">
    <w:p w14:paraId="04017BA5" w14:textId="77777777" w:rsidR="0088163A" w:rsidRDefault="0088163A" w:rsidP="0088163A">
      <w:pPr>
        <w:pStyle w:val="FootnoteText"/>
      </w:pPr>
      <w:r>
        <w:rPr>
          <w:rStyle w:val="FootnoteReference"/>
        </w:rPr>
        <w:footnoteRef/>
      </w:r>
      <w:r>
        <w:t xml:space="preserve"> Iesniedz aprakstu vai izrakstu no procedūrām (latviski vai angliski)</w:t>
      </w:r>
    </w:p>
  </w:footnote>
  <w:footnote w:id="7">
    <w:p w14:paraId="47F12C87" w14:textId="77777777" w:rsidR="0088163A" w:rsidRDefault="0088163A" w:rsidP="0088163A">
      <w:pPr>
        <w:pStyle w:val="FootnoteText"/>
        <w:ind w:right="-483"/>
      </w:pPr>
      <w:r>
        <w:rPr>
          <w:rStyle w:val="FootnoteReference"/>
        </w:rPr>
        <w:footnoteRef/>
      </w:r>
      <w:r>
        <w:t xml:space="preserve"> Vai norāda citā četru gadu periodā atbilstoši pretendenta plānotajam programmas ieviešanas termiņam, ņemot vērā pieteikuma iesniegšanas termiņu līdz 31.03.2026..</w:t>
      </w:r>
    </w:p>
  </w:footnote>
  <w:footnote w:id="8">
    <w:p w14:paraId="0A460ABE" w14:textId="77777777" w:rsidR="0088163A" w:rsidRPr="0046313D" w:rsidRDefault="0088163A" w:rsidP="0088163A">
      <w:pPr>
        <w:pStyle w:val="FootnoteText"/>
        <w:ind w:right="-483"/>
      </w:pPr>
      <w:r w:rsidRPr="00472C0B">
        <w:rPr>
          <w:rStyle w:val="FootnoteReference"/>
        </w:rPr>
        <w:footnoteRef/>
      </w:r>
      <w:r w:rsidRPr="00472C0B">
        <w:t xml:space="preserve"> Sadaļā norādīto informāciju var iesniegt arī citā formā, izmantot citu informāciju informācijas pamatošanai</w:t>
      </w:r>
      <w:r w:rsidRPr="0046313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95B64"/>
    <w:multiLevelType w:val="multilevel"/>
    <w:tmpl w:val="230278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Arial" w:hint="default"/>
        <w:b w:val="0"/>
        <w:bCs w:val="0"/>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1" w15:restartNumberingAfterBreak="0">
    <w:nsid w:val="47875806"/>
    <w:multiLevelType w:val="multilevel"/>
    <w:tmpl w:val="F1CA99B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17550168">
    <w:abstractNumId w:val="0"/>
  </w:num>
  <w:num w:numId="2" w16cid:durableId="16741391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63A"/>
    <w:rsid w:val="00102F78"/>
    <w:rsid w:val="006A149D"/>
    <w:rsid w:val="0088163A"/>
    <w:rsid w:val="00FA5B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53EDD"/>
  <w15:chartTrackingRefBased/>
  <w15:docId w15:val="{15ECCEE8-C9E5-4BB1-A88F-AC51EFC9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63A"/>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Virsraksti"/>
    <w:basedOn w:val="Normal"/>
    <w:link w:val="ListParagraphChar"/>
    <w:uiPriority w:val="34"/>
    <w:qFormat/>
    <w:rsid w:val="0088163A"/>
    <w:pPr>
      <w:ind w:left="720"/>
      <w:contextualSpacing/>
    </w:pPr>
  </w:style>
  <w:style w:type="character" w:customStyle="1" w:styleId="ListParagraphChar">
    <w:name w:val="List Paragraph Char"/>
    <w:aliases w:val="2 Char,Virsraksti Char"/>
    <w:link w:val="ListParagraph"/>
    <w:uiPriority w:val="34"/>
    <w:locked/>
    <w:rsid w:val="0088163A"/>
    <w:rPr>
      <w:rFonts w:ascii="Times New Roman" w:eastAsia="Times New Roman" w:hAnsi="Times New Roman" w:cs="Times New Roman"/>
      <w:kern w:val="0"/>
      <w:sz w:val="24"/>
      <w:szCs w:val="24"/>
      <w14:ligatures w14:val="none"/>
    </w:rPr>
  </w:style>
  <w:style w:type="paragraph" w:styleId="FootnoteText">
    <w:name w:val="footnote text"/>
    <w:basedOn w:val="Normal"/>
    <w:link w:val="FootnoteTextChar"/>
    <w:uiPriority w:val="99"/>
    <w:unhideWhenUsed/>
    <w:rsid w:val="0088163A"/>
    <w:rPr>
      <w:sz w:val="20"/>
      <w:szCs w:val="20"/>
    </w:rPr>
  </w:style>
  <w:style w:type="character" w:customStyle="1" w:styleId="FootnoteTextChar">
    <w:name w:val="Footnote Text Char"/>
    <w:basedOn w:val="DefaultParagraphFont"/>
    <w:link w:val="FootnoteText"/>
    <w:uiPriority w:val="99"/>
    <w:rsid w:val="0088163A"/>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uiPriority w:val="99"/>
    <w:unhideWhenUsed/>
    <w:rsid w:val="0088163A"/>
    <w:rPr>
      <w:vertAlign w:val="superscript"/>
    </w:rPr>
  </w:style>
  <w:style w:type="character" w:customStyle="1" w:styleId="ui-provider">
    <w:name w:val="ui-provider"/>
    <w:basedOn w:val="DefaultParagraphFont"/>
    <w:rsid w:val="00881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14184-noteikumi-par-studiju-un-studejoso-kreditesanu-studijam-latvija-no-kreditiestazu-lidzekliem-kasnbspgaranteti-no-valsts-budzeta-un-starptautisko-finansu-instituciju-lidzekli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4106</Words>
  <Characters>2341</Characters>
  <Application>Microsoft Office Word</Application>
  <DocSecurity>0</DocSecurity>
  <Lines>19</Lines>
  <Paragraphs>12</Paragraphs>
  <ScaleCrop>false</ScaleCrop>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Vāciete</dc:creator>
  <cp:keywords/>
  <dc:description/>
  <cp:lastModifiedBy>Anda Vāciete</cp:lastModifiedBy>
  <cp:revision>2</cp:revision>
  <dcterms:created xsi:type="dcterms:W3CDTF">2024-11-25T08:14:00Z</dcterms:created>
  <dcterms:modified xsi:type="dcterms:W3CDTF">2024-11-25T08:14:00Z</dcterms:modified>
</cp:coreProperties>
</file>