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10F98" w14:textId="6D199362" w:rsidR="00EA1838" w:rsidRPr="0053009E" w:rsidRDefault="00EA1838" w:rsidP="00EA1838">
      <w:pPr>
        <w:pStyle w:val="ListParagraph"/>
        <w:ind w:right="169"/>
        <w:jc w:val="right"/>
        <w:rPr>
          <w:b/>
          <w:i/>
          <w:sz w:val="22"/>
          <w:szCs w:val="22"/>
        </w:rPr>
      </w:pPr>
      <w:r w:rsidRPr="0053009E">
        <w:rPr>
          <w:b/>
          <w:i/>
          <w:sz w:val="22"/>
          <w:szCs w:val="22"/>
        </w:rPr>
        <w:t>Pielikums Nr.</w:t>
      </w:r>
      <w:r>
        <w:rPr>
          <w:b/>
          <w:i/>
          <w:sz w:val="22"/>
          <w:szCs w:val="22"/>
        </w:rPr>
        <w:t>3</w:t>
      </w:r>
    </w:p>
    <w:p w14:paraId="0B52555A" w14:textId="77777777" w:rsidR="00EA1838" w:rsidRDefault="002A2CAE" w:rsidP="00096BFA">
      <w:pPr>
        <w:jc w:val="center"/>
        <w:rPr>
          <w:rFonts w:ascii="Times New Roman" w:hAnsi="Times New Roman"/>
          <w:b/>
          <w:sz w:val="22"/>
          <w:szCs w:val="22"/>
        </w:rPr>
      </w:pPr>
      <w:r w:rsidRPr="00901D53">
        <w:rPr>
          <w:rFonts w:ascii="Times New Roman" w:hAnsi="Times New Roman"/>
          <w:b/>
          <w:sz w:val="22"/>
          <w:szCs w:val="22"/>
        </w:rPr>
        <w:t xml:space="preserve"> </w:t>
      </w:r>
    </w:p>
    <w:p w14:paraId="6B638825" w14:textId="37CB3F90" w:rsidR="00096BFA" w:rsidRPr="00901D53" w:rsidRDefault="002A2CAE" w:rsidP="00096BFA">
      <w:pPr>
        <w:jc w:val="center"/>
        <w:rPr>
          <w:rFonts w:ascii="Times New Roman" w:hAnsi="Times New Roman"/>
          <w:b/>
          <w:sz w:val="22"/>
          <w:szCs w:val="22"/>
        </w:rPr>
      </w:pPr>
      <w:r w:rsidRPr="00901D53">
        <w:rPr>
          <w:rFonts w:ascii="Times New Roman" w:hAnsi="Times New Roman"/>
          <w:b/>
          <w:sz w:val="22"/>
          <w:szCs w:val="22"/>
        </w:rPr>
        <w:t xml:space="preserve"> </w:t>
      </w:r>
      <w:r w:rsidR="00096BFA" w:rsidRPr="00901D53">
        <w:rPr>
          <w:rFonts w:ascii="Times New Roman" w:hAnsi="Times New Roman"/>
          <w:b/>
          <w:sz w:val="22"/>
          <w:szCs w:val="22"/>
        </w:rPr>
        <w:t>Sadarbības līgums</w:t>
      </w:r>
    </w:p>
    <w:p w14:paraId="73AAAE5C" w14:textId="4915473A" w:rsidR="00096BFA" w:rsidRDefault="00096BFA" w:rsidP="00E226E5">
      <w:pPr>
        <w:jc w:val="center"/>
        <w:rPr>
          <w:rFonts w:ascii="Times New Roman" w:hAnsi="Times New Roman"/>
          <w:b/>
          <w:sz w:val="22"/>
          <w:szCs w:val="22"/>
        </w:rPr>
      </w:pPr>
      <w:r w:rsidRPr="00901D53">
        <w:rPr>
          <w:rFonts w:ascii="Times New Roman" w:hAnsi="Times New Roman"/>
          <w:b/>
          <w:sz w:val="22"/>
          <w:szCs w:val="22"/>
        </w:rPr>
        <w:t xml:space="preserve">par </w:t>
      </w:r>
      <w:r w:rsidR="00E226E5" w:rsidRPr="00901D53">
        <w:rPr>
          <w:rFonts w:ascii="Times New Roman" w:hAnsi="Times New Roman"/>
          <w:b/>
          <w:sz w:val="22"/>
          <w:szCs w:val="22"/>
        </w:rPr>
        <w:t xml:space="preserve">studiju un studējošo kreditēšanas </w:t>
      </w:r>
      <w:proofErr w:type="spellStart"/>
      <w:r w:rsidR="00E226E5" w:rsidRPr="00901D53">
        <w:rPr>
          <w:rFonts w:ascii="Times New Roman" w:hAnsi="Times New Roman"/>
          <w:b/>
          <w:sz w:val="22"/>
          <w:szCs w:val="22"/>
        </w:rPr>
        <w:t>portfeļgarantiju</w:t>
      </w:r>
      <w:proofErr w:type="spellEnd"/>
    </w:p>
    <w:p w14:paraId="0B74B9E5" w14:textId="5A25ACCD" w:rsidR="00292E2D" w:rsidRPr="00901D53" w:rsidRDefault="00292E2D" w:rsidP="00E226E5">
      <w:pPr>
        <w:jc w:val="center"/>
        <w:rPr>
          <w:rFonts w:ascii="Times New Roman" w:hAnsi="Times New Roman"/>
          <w:b/>
          <w:sz w:val="22"/>
          <w:szCs w:val="22"/>
        </w:rPr>
      </w:pPr>
      <w:r>
        <w:rPr>
          <w:rFonts w:ascii="Times New Roman" w:hAnsi="Times New Roman"/>
          <w:b/>
          <w:sz w:val="22"/>
          <w:szCs w:val="22"/>
        </w:rPr>
        <w:t>(2.kārtas atlase)</w:t>
      </w:r>
    </w:p>
    <w:p w14:paraId="75F005B1" w14:textId="77777777" w:rsidR="001D3894" w:rsidRPr="00901D53" w:rsidRDefault="001D3894" w:rsidP="00096BFA">
      <w:pPr>
        <w:jc w:val="center"/>
        <w:rPr>
          <w:rFonts w:ascii="Times New Roman" w:hAnsi="Times New Roman"/>
          <w:b/>
          <w:sz w:val="22"/>
          <w:szCs w:val="22"/>
        </w:rPr>
      </w:pPr>
    </w:p>
    <w:p w14:paraId="14174453" w14:textId="77777777" w:rsidR="007F03D2" w:rsidRPr="00901D53" w:rsidRDefault="00096BFA" w:rsidP="00736A36">
      <w:pPr>
        <w:pStyle w:val="BodyText"/>
        <w:numPr>
          <w:ilvl w:val="0"/>
          <w:numId w:val="0"/>
        </w:numPr>
        <w:ind w:left="765"/>
      </w:pPr>
      <w:r w:rsidRPr="00901D53">
        <w:t>Rīgā</w:t>
      </w:r>
      <w:r w:rsidRPr="00901D53">
        <w:tab/>
      </w:r>
      <w:r w:rsidRPr="00901D53">
        <w:tab/>
      </w:r>
      <w:r w:rsidRPr="00901D53">
        <w:tab/>
      </w:r>
      <w:r w:rsidRPr="00901D53">
        <w:tab/>
      </w:r>
      <w:r w:rsidRPr="00901D53">
        <w:tab/>
      </w:r>
      <w:r w:rsidRPr="00901D53">
        <w:tab/>
      </w:r>
    </w:p>
    <w:p w14:paraId="5BA4E2B7" w14:textId="38D31228" w:rsidR="00096BFA" w:rsidRPr="00901D53" w:rsidRDefault="007F03D2" w:rsidP="00736A36">
      <w:pPr>
        <w:pStyle w:val="BodyText"/>
        <w:numPr>
          <w:ilvl w:val="0"/>
          <w:numId w:val="0"/>
        </w:numPr>
        <w:ind w:left="765"/>
      </w:pPr>
      <w:r w:rsidRPr="00901D53">
        <w:t>Datums</w:t>
      </w:r>
      <w:r w:rsidR="001C3DC4" w:rsidRPr="00901D53">
        <w:t xml:space="preserve"> norādīts dokumenta paraksta laika zīmogā</w:t>
      </w:r>
    </w:p>
    <w:p w14:paraId="5F9A7A05" w14:textId="77777777" w:rsidR="001D3894" w:rsidRPr="00901D53" w:rsidRDefault="001D3894" w:rsidP="00736A36">
      <w:pPr>
        <w:pStyle w:val="BodyText"/>
        <w:numPr>
          <w:ilvl w:val="0"/>
          <w:numId w:val="0"/>
        </w:numPr>
        <w:ind w:left="765"/>
      </w:pPr>
    </w:p>
    <w:p w14:paraId="4447EF1A" w14:textId="617B7FDE" w:rsidR="00096BFA" w:rsidRPr="00901D53" w:rsidRDefault="00096BFA" w:rsidP="00096BFA">
      <w:pPr>
        <w:jc w:val="both"/>
        <w:rPr>
          <w:rFonts w:ascii="Times New Roman" w:hAnsi="Times New Roman"/>
          <w:sz w:val="22"/>
          <w:szCs w:val="22"/>
        </w:rPr>
      </w:pPr>
      <w:r w:rsidRPr="00901D53">
        <w:rPr>
          <w:rFonts w:ascii="Times New Roman" w:hAnsi="Times New Roman"/>
          <w:b/>
          <w:bCs/>
          <w:sz w:val="22"/>
          <w:szCs w:val="22"/>
        </w:rPr>
        <w:t>Akciju sabiedrība „Attīstības finanšu institūcija Altum”</w:t>
      </w:r>
      <w:r w:rsidRPr="00901D53">
        <w:rPr>
          <w:rFonts w:ascii="Times New Roman" w:hAnsi="Times New Roman"/>
          <w:sz w:val="22"/>
          <w:szCs w:val="22"/>
        </w:rPr>
        <w:t xml:space="preserve">, reģistrēta Latvijas Republikas Uzņēmumu reģistra Komercreģistra iestādē ar vienoto reģistrācijas </w:t>
      </w:r>
      <w:r w:rsidR="0028070D" w:rsidRPr="00901D53">
        <w:rPr>
          <w:rFonts w:ascii="Times New Roman" w:hAnsi="Times New Roman"/>
          <w:sz w:val="22"/>
          <w:szCs w:val="22"/>
        </w:rPr>
        <w:t>N</w:t>
      </w:r>
      <w:r w:rsidRPr="00901D53">
        <w:rPr>
          <w:rFonts w:ascii="Times New Roman" w:hAnsi="Times New Roman"/>
          <w:sz w:val="22"/>
          <w:szCs w:val="22"/>
        </w:rPr>
        <w:t xml:space="preserve">r.50103744891, juridiskā adrese: Doma laukums 4, Rīga, LV-1050, turpmāk tekstā – </w:t>
      </w:r>
      <w:r w:rsidRPr="00901D53">
        <w:rPr>
          <w:rFonts w:ascii="Times New Roman" w:hAnsi="Times New Roman"/>
          <w:b/>
          <w:bCs/>
          <w:sz w:val="22"/>
          <w:szCs w:val="22"/>
        </w:rPr>
        <w:t>ALTUM</w:t>
      </w:r>
      <w:r w:rsidRPr="00901D53">
        <w:rPr>
          <w:rFonts w:ascii="Times New Roman" w:hAnsi="Times New Roman"/>
          <w:sz w:val="22"/>
          <w:szCs w:val="22"/>
        </w:rPr>
        <w:t xml:space="preserve">, </w:t>
      </w:r>
      <w:r w:rsidR="00B80883" w:rsidRPr="00901D53">
        <w:rPr>
          <w:rFonts w:ascii="Times New Roman" w:hAnsi="Times New Roman"/>
          <w:sz w:val="22"/>
          <w:szCs w:val="22"/>
        </w:rPr>
        <w:t>tā</w:t>
      </w:r>
      <w:r w:rsidR="00BE1B2D">
        <w:rPr>
          <w:rFonts w:ascii="Times New Roman" w:hAnsi="Times New Roman"/>
          <w:sz w:val="22"/>
          <w:szCs w:val="22"/>
        </w:rPr>
        <w:t>s</w:t>
      </w:r>
      <w:r w:rsidR="00B80883" w:rsidRPr="00901D53">
        <w:rPr>
          <w:rFonts w:ascii="Times New Roman" w:hAnsi="Times New Roman"/>
          <w:sz w:val="22"/>
          <w:szCs w:val="22"/>
        </w:rPr>
        <w:t xml:space="preserve"> </w:t>
      </w:r>
      <w:r w:rsidR="00292E2D">
        <w:rPr>
          <w:rFonts w:ascii="Times New Roman" w:hAnsi="Times New Roman"/>
          <w:sz w:val="22"/>
          <w:szCs w:val="22"/>
        </w:rPr>
        <w:t>___</w:t>
      </w:r>
      <w:r w:rsidR="00B80883" w:rsidRPr="00901D53">
        <w:rPr>
          <w:rFonts w:ascii="Times New Roman" w:hAnsi="Times New Roman"/>
          <w:sz w:val="22"/>
          <w:szCs w:val="22"/>
        </w:rPr>
        <w:t xml:space="preserve"> </w:t>
      </w:r>
      <w:r w:rsidRPr="00901D53">
        <w:rPr>
          <w:rFonts w:ascii="Times New Roman" w:hAnsi="Times New Roman"/>
          <w:sz w:val="22"/>
          <w:szCs w:val="22"/>
        </w:rPr>
        <w:t xml:space="preserve">personā, kurš rīkojas saskaņā ar </w:t>
      </w:r>
      <w:r w:rsidR="00292E2D">
        <w:rPr>
          <w:rFonts w:ascii="Times New Roman" w:hAnsi="Times New Roman"/>
          <w:sz w:val="22"/>
          <w:szCs w:val="22"/>
        </w:rPr>
        <w:t>pilnvarojumu</w:t>
      </w:r>
      <w:r w:rsidRPr="00901D53">
        <w:rPr>
          <w:rFonts w:ascii="Times New Roman" w:hAnsi="Times New Roman"/>
          <w:sz w:val="22"/>
          <w:szCs w:val="22"/>
        </w:rPr>
        <w:t>, no vienas puses, un</w:t>
      </w:r>
    </w:p>
    <w:p w14:paraId="16AC97C2" w14:textId="77777777" w:rsidR="00096BFA" w:rsidRPr="00901D53" w:rsidRDefault="00096BFA" w:rsidP="00096BFA">
      <w:pPr>
        <w:rPr>
          <w:rFonts w:ascii="Times New Roman" w:hAnsi="Times New Roman"/>
          <w:sz w:val="22"/>
          <w:szCs w:val="22"/>
        </w:rPr>
      </w:pPr>
    </w:p>
    <w:p w14:paraId="7646A2BF" w14:textId="0032C214" w:rsidR="00096BFA" w:rsidRPr="00901D53" w:rsidRDefault="00292E2D" w:rsidP="00096BFA">
      <w:pPr>
        <w:jc w:val="both"/>
        <w:rPr>
          <w:rFonts w:ascii="Times New Roman" w:hAnsi="Times New Roman"/>
          <w:sz w:val="22"/>
          <w:szCs w:val="22"/>
        </w:rPr>
      </w:pPr>
      <w:r>
        <w:rPr>
          <w:rFonts w:ascii="Times New Roman" w:hAnsi="Times New Roman"/>
          <w:b/>
          <w:sz w:val="22"/>
          <w:szCs w:val="22"/>
        </w:rPr>
        <w:t>___</w:t>
      </w:r>
      <w:r w:rsidR="007922C3" w:rsidRPr="00901D53">
        <w:rPr>
          <w:rFonts w:ascii="Times New Roman" w:hAnsi="Times New Roman"/>
          <w:sz w:val="22"/>
          <w:szCs w:val="22"/>
        </w:rPr>
        <w:t xml:space="preserve">, </w:t>
      </w:r>
      <w:r w:rsidR="00502664" w:rsidRPr="00901D53">
        <w:rPr>
          <w:rFonts w:ascii="Times New Roman" w:hAnsi="Times New Roman"/>
          <w:sz w:val="22"/>
          <w:szCs w:val="22"/>
        </w:rPr>
        <w:t>reģistrācijas Nr.</w:t>
      </w:r>
      <w:r w:rsidR="007922C3" w:rsidRPr="007922C3">
        <w:t xml:space="preserve"> </w:t>
      </w:r>
      <w:r>
        <w:rPr>
          <w:rFonts w:ascii="Times New Roman" w:hAnsi="Times New Roman"/>
          <w:sz w:val="22"/>
          <w:szCs w:val="22"/>
        </w:rPr>
        <w:t>____</w:t>
      </w:r>
      <w:r w:rsidR="00502664" w:rsidRPr="00901D53">
        <w:rPr>
          <w:rFonts w:ascii="Times New Roman" w:hAnsi="Times New Roman"/>
          <w:sz w:val="22"/>
          <w:szCs w:val="22"/>
        </w:rPr>
        <w:t xml:space="preserve">, juridiskā adrese: </w:t>
      </w:r>
      <w:r>
        <w:rPr>
          <w:rFonts w:ascii="Times New Roman" w:hAnsi="Times New Roman"/>
          <w:sz w:val="22"/>
          <w:szCs w:val="22"/>
        </w:rPr>
        <w:t>______</w:t>
      </w:r>
      <w:r w:rsidR="00502664" w:rsidRPr="00901D53">
        <w:rPr>
          <w:rFonts w:ascii="Times New Roman" w:hAnsi="Times New Roman"/>
          <w:sz w:val="22"/>
          <w:szCs w:val="22"/>
        </w:rPr>
        <w:t xml:space="preserve">, kuras vārdā </w:t>
      </w:r>
      <w:r w:rsidR="00E226E5" w:rsidRPr="00901D53">
        <w:rPr>
          <w:rFonts w:ascii="Times New Roman" w:hAnsi="Times New Roman"/>
          <w:sz w:val="22"/>
          <w:szCs w:val="22"/>
        </w:rPr>
        <w:t xml:space="preserve">uz </w:t>
      </w:r>
      <w:r w:rsidR="007922C3">
        <w:rPr>
          <w:rFonts w:ascii="Times New Roman" w:hAnsi="Times New Roman"/>
          <w:sz w:val="22"/>
          <w:szCs w:val="22"/>
        </w:rPr>
        <w:t xml:space="preserve">statūtu </w:t>
      </w:r>
      <w:r w:rsidR="00E226E5" w:rsidRPr="00901D53">
        <w:rPr>
          <w:rFonts w:ascii="Times New Roman" w:hAnsi="Times New Roman"/>
          <w:sz w:val="22"/>
          <w:szCs w:val="22"/>
        </w:rPr>
        <w:t xml:space="preserve">pamata </w:t>
      </w:r>
      <w:r w:rsidR="00502664" w:rsidRPr="00901D53">
        <w:rPr>
          <w:rFonts w:ascii="Times New Roman" w:hAnsi="Times New Roman"/>
          <w:sz w:val="22"/>
          <w:szCs w:val="22"/>
        </w:rPr>
        <w:t xml:space="preserve">rīkojas tās </w:t>
      </w:r>
      <w:r w:rsidR="007922C3">
        <w:rPr>
          <w:rFonts w:ascii="Times New Roman" w:hAnsi="Times New Roman"/>
          <w:sz w:val="22"/>
          <w:szCs w:val="22"/>
        </w:rPr>
        <w:t>v</w:t>
      </w:r>
      <w:r w:rsidR="007922C3" w:rsidRPr="007922C3">
        <w:rPr>
          <w:rFonts w:ascii="Times New Roman" w:hAnsi="Times New Roman"/>
          <w:sz w:val="22"/>
          <w:szCs w:val="22"/>
        </w:rPr>
        <w:t>aldes loceklis</w:t>
      </w:r>
      <w:r>
        <w:rPr>
          <w:rFonts w:ascii="Times New Roman" w:hAnsi="Times New Roman"/>
          <w:sz w:val="22"/>
          <w:szCs w:val="22"/>
        </w:rPr>
        <w:t>___</w:t>
      </w:r>
      <w:r w:rsidR="00526C93" w:rsidRPr="00901D53">
        <w:rPr>
          <w:rFonts w:ascii="Times New Roman" w:hAnsi="Times New Roman"/>
          <w:sz w:val="22"/>
          <w:szCs w:val="22"/>
        </w:rPr>
        <w:t>,</w:t>
      </w:r>
      <w:r w:rsidR="00096BFA" w:rsidRPr="00901D53">
        <w:rPr>
          <w:rFonts w:ascii="Times New Roman" w:hAnsi="Times New Roman"/>
          <w:sz w:val="22"/>
          <w:szCs w:val="22"/>
        </w:rPr>
        <w:t xml:space="preserve"> turpmāk tekstā</w:t>
      </w:r>
      <w:r w:rsidR="0028070D" w:rsidRPr="00901D53">
        <w:rPr>
          <w:rFonts w:ascii="Times New Roman" w:hAnsi="Times New Roman"/>
          <w:sz w:val="22"/>
          <w:szCs w:val="22"/>
        </w:rPr>
        <w:t xml:space="preserve"> – </w:t>
      </w:r>
      <w:r w:rsidR="00096BFA" w:rsidRPr="00901D53">
        <w:rPr>
          <w:rFonts w:ascii="Times New Roman" w:hAnsi="Times New Roman"/>
          <w:b/>
          <w:bCs/>
          <w:sz w:val="22"/>
          <w:szCs w:val="22"/>
        </w:rPr>
        <w:t>Finansētājs</w:t>
      </w:r>
      <w:r w:rsidR="00096BFA" w:rsidRPr="00901D53">
        <w:rPr>
          <w:rFonts w:ascii="Times New Roman" w:hAnsi="Times New Roman"/>
          <w:sz w:val="22"/>
          <w:szCs w:val="22"/>
        </w:rPr>
        <w:t xml:space="preserve">, no otras puses, </w:t>
      </w:r>
    </w:p>
    <w:p w14:paraId="0EDE7F36" w14:textId="77777777" w:rsidR="00096BFA" w:rsidRPr="00901D53" w:rsidRDefault="00096BFA" w:rsidP="00096BFA">
      <w:pPr>
        <w:jc w:val="both"/>
        <w:rPr>
          <w:rFonts w:ascii="Times New Roman" w:hAnsi="Times New Roman"/>
          <w:sz w:val="22"/>
          <w:szCs w:val="22"/>
        </w:rPr>
      </w:pPr>
    </w:p>
    <w:p w14:paraId="08C2FDFB" w14:textId="15AFA213" w:rsidR="00096BFA" w:rsidRPr="00901D53" w:rsidRDefault="00096BFA" w:rsidP="00096BFA">
      <w:pPr>
        <w:jc w:val="both"/>
        <w:rPr>
          <w:rFonts w:ascii="Times New Roman" w:hAnsi="Times New Roman"/>
          <w:sz w:val="22"/>
          <w:szCs w:val="22"/>
        </w:rPr>
      </w:pPr>
      <w:r w:rsidRPr="00901D53">
        <w:rPr>
          <w:rFonts w:ascii="Times New Roman" w:hAnsi="Times New Roman"/>
          <w:sz w:val="22"/>
          <w:szCs w:val="22"/>
        </w:rPr>
        <w:t xml:space="preserve">lai </w:t>
      </w:r>
      <w:r w:rsidR="00E226E5" w:rsidRPr="00901D53">
        <w:rPr>
          <w:rFonts w:ascii="Times New Roman" w:hAnsi="Times New Roman"/>
          <w:sz w:val="22"/>
          <w:szCs w:val="22"/>
        </w:rPr>
        <w:t xml:space="preserve">ieviestu studiju un studējošo kreditēšanas modeli, kas paredz atteikšanos no prasības par galvotāju - fizisko personu vai pašvaldību piesaistīšanas, </w:t>
      </w:r>
      <w:r w:rsidRPr="00901D53">
        <w:rPr>
          <w:rFonts w:ascii="Times New Roman" w:hAnsi="Times New Roman"/>
          <w:sz w:val="22"/>
          <w:szCs w:val="22"/>
        </w:rPr>
        <w:t xml:space="preserve">noslēdz šo sadarbības līgumu par  </w:t>
      </w:r>
      <w:r w:rsidR="00E226E5" w:rsidRPr="00901D53">
        <w:rPr>
          <w:rFonts w:ascii="Times New Roman" w:hAnsi="Times New Roman"/>
          <w:sz w:val="22"/>
          <w:szCs w:val="22"/>
        </w:rPr>
        <w:t xml:space="preserve">studiju un studējošo kreditēšanas </w:t>
      </w:r>
      <w:proofErr w:type="spellStart"/>
      <w:r w:rsidR="00E226E5" w:rsidRPr="00901D53">
        <w:rPr>
          <w:rFonts w:ascii="Times New Roman" w:hAnsi="Times New Roman"/>
          <w:sz w:val="22"/>
          <w:szCs w:val="22"/>
        </w:rPr>
        <w:t>portfeļgarantiju</w:t>
      </w:r>
      <w:proofErr w:type="spellEnd"/>
      <w:r w:rsidR="00E226E5" w:rsidRPr="00901D53">
        <w:rPr>
          <w:rFonts w:ascii="Times New Roman" w:hAnsi="Times New Roman"/>
          <w:sz w:val="22"/>
          <w:szCs w:val="22"/>
        </w:rPr>
        <w:t xml:space="preserve">, </w:t>
      </w:r>
      <w:r w:rsidRPr="00901D53">
        <w:rPr>
          <w:rFonts w:ascii="Times New Roman" w:hAnsi="Times New Roman"/>
          <w:sz w:val="22"/>
          <w:szCs w:val="22"/>
        </w:rPr>
        <w:t>turpmāk tekstā – Līgums, un vienojas:</w:t>
      </w:r>
    </w:p>
    <w:p w14:paraId="3B9644F9" w14:textId="77777777" w:rsidR="00703F8D" w:rsidRPr="00901D53" w:rsidRDefault="00703F8D" w:rsidP="00096BFA">
      <w:pPr>
        <w:jc w:val="both"/>
        <w:rPr>
          <w:rFonts w:ascii="Times New Roman" w:hAnsi="Times New Roman"/>
          <w:sz w:val="22"/>
          <w:szCs w:val="22"/>
        </w:rPr>
      </w:pPr>
    </w:p>
    <w:p w14:paraId="0EE0E68B" w14:textId="09C31276" w:rsidR="00096BFA" w:rsidRPr="00901D53" w:rsidRDefault="00096BFA" w:rsidP="005D5E1C">
      <w:pPr>
        <w:pStyle w:val="ListParagraph"/>
        <w:numPr>
          <w:ilvl w:val="0"/>
          <w:numId w:val="14"/>
        </w:numPr>
        <w:rPr>
          <w:rFonts w:ascii="Times New Roman" w:hAnsi="Times New Roman"/>
          <w:b/>
          <w:bCs/>
          <w:sz w:val="22"/>
          <w:szCs w:val="22"/>
        </w:rPr>
      </w:pPr>
      <w:r w:rsidRPr="00901D53">
        <w:rPr>
          <w:rFonts w:ascii="Times New Roman" w:hAnsi="Times New Roman"/>
          <w:b/>
          <w:bCs/>
          <w:sz w:val="22"/>
          <w:szCs w:val="22"/>
        </w:rPr>
        <w:t>Līgumā lietotie termini</w:t>
      </w:r>
    </w:p>
    <w:p w14:paraId="7E7BF8C1" w14:textId="77777777" w:rsidR="00E226E5" w:rsidRPr="00901D53" w:rsidRDefault="00E226E5" w:rsidP="005D5E1C">
      <w:pPr>
        <w:rPr>
          <w:rFonts w:ascii="Times New Roman" w:hAnsi="Times New Roman"/>
          <w:sz w:val="22"/>
          <w:szCs w:val="22"/>
        </w:rPr>
      </w:pPr>
    </w:p>
    <w:p w14:paraId="37A4F8AF" w14:textId="36E8FEB5" w:rsidR="005D5E1C" w:rsidRPr="00901D53" w:rsidRDefault="005D5E1C" w:rsidP="008A6116">
      <w:pPr>
        <w:pStyle w:val="ListParagraph"/>
        <w:numPr>
          <w:ilvl w:val="1"/>
          <w:numId w:val="14"/>
        </w:numPr>
        <w:jc w:val="both"/>
        <w:rPr>
          <w:rFonts w:ascii="Times New Roman" w:hAnsi="Times New Roman"/>
          <w:sz w:val="22"/>
          <w:szCs w:val="22"/>
        </w:rPr>
      </w:pPr>
      <w:r w:rsidRPr="00901D53">
        <w:rPr>
          <w:rFonts w:ascii="Times New Roman" w:hAnsi="Times New Roman"/>
          <w:b/>
          <w:bCs/>
          <w:sz w:val="22"/>
          <w:szCs w:val="22"/>
        </w:rPr>
        <w:t xml:space="preserve">Aizdevumu portfelis </w:t>
      </w:r>
      <w:r w:rsidRPr="00901D53">
        <w:rPr>
          <w:rFonts w:ascii="Times New Roman" w:hAnsi="Times New Roman"/>
          <w:sz w:val="22"/>
          <w:szCs w:val="22"/>
        </w:rPr>
        <w:t>– Finansētāja izsniegto kredītu darījumu kopums, kurā iekļauti atbilstoši Līgumam un MK noteikumiem izsniegtie Finanšu pakalpojumi;</w:t>
      </w:r>
    </w:p>
    <w:p w14:paraId="7711C466" w14:textId="367F2E6B" w:rsidR="005D5E1C" w:rsidRPr="00901D53" w:rsidRDefault="005D5E1C" w:rsidP="008A6116">
      <w:pPr>
        <w:pStyle w:val="ListParagraph"/>
        <w:numPr>
          <w:ilvl w:val="1"/>
          <w:numId w:val="14"/>
        </w:numPr>
        <w:jc w:val="both"/>
        <w:rPr>
          <w:rFonts w:ascii="Times New Roman" w:hAnsi="Times New Roman"/>
          <w:sz w:val="22"/>
          <w:szCs w:val="22"/>
        </w:rPr>
      </w:pPr>
      <w:r w:rsidRPr="00901D53">
        <w:rPr>
          <w:rFonts w:ascii="Times New Roman" w:hAnsi="Times New Roman"/>
          <w:b/>
          <w:bCs/>
          <w:sz w:val="22"/>
          <w:szCs w:val="22"/>
        </w:rPr>
        <w:t>ALTUM konts</w:t>
      </w:r>
      <w:r w:rsidRPr="00901D53">
        <w:rPr>
          <w:rFonts w:ascii="Times New Roman" w:hAnsi="Times New Roman"/>
          <w:sz w:val="22"/>
          <w:szCs w:val="22"/>
        </w:rPr>
        <w:t xml:space="preserve">  – ALTUM konts Nr.LV79PARX0000035450034 AS “Citadele banka” vai Nr.LV45UNLA0002008469967 AS “SEB banka”, kurā Finansētājs iemaksā jebkuras summas, kas Finansētājam ir jāmaksā ALTUM Līguma ietvaros. Mainoties šo kontu rekvizītiem, ALTUM par šādām izmaiņām ne vēlāk kā 5 (piecas) darba dienas iepriekš rakstiski informē Finansētāju. Visi maksājumi no vēstulē norādītā datuma ir jāveic uz jauno ALTUM vēstulē norādīto kredītiestādes kontu, kas turpmāk būs ALTUM konts</w:t>
      </w:r>
      <w:r w:rsidR="008A6116" w:rsidRPr="00901D53">
        <w:rPr>
          <w:rFonts w:ascii="Times New Roman" w:hAnsi="Times New Roman"/>
          <w:sz w:val="22"/>
          <w:szCs w:val="22"/>
        </w:rPr>
        <w:t>;</w:t>
      </w:r>
    </w:p>
    <w:p w14:paraId="42E8D68E" w14:textId="32CF002A" w:rsidR="005D5E1C" w:rsidRPr="00760FE5" w:rsidRDefault="005D5E1C" w:rsidP="008A6116">
      <w:pPr>
        <w:pStyle w:val="ListParagraph"/>
        <w:numPr>
          <w:ilvl w:val="1"/>
          <w:numId w:val="14"/>
        </w:numPr>
        <w:jc w:val="both"/>
        <w:rPr>
          <w:rFonts w:ascii="Times New Roman" w:hAnsi="Times New Roman"/>
          <w:sz w:val="22"/>
          <w:szCs w:val="22"/>
        </w:rPr>
      </w:pPr>
      <w:r w:rsidRPr="00901D53">
        <w:rPr>
          <w:rFonts w:ascii="Times New Roman" w:hAnsi="Times New Roman"/>
          <w:b/>
          <w:bCs/>
          <w:sz w:val="22"/>
          <w:szCs w:val="22"/>
        </w:rPr>
        <w:t>Atbilstības periods</w:t>
      </w:r>
      <w:r w:rsidRPr="00901D53">
        <w:rPr>
          <w:rFonts w:ascii="Times New Roman" w:hAnsi="Times New Roman"/>
          <w:sz w:val="22"/>
          <w:szCs w:val="22"/>
        </w:rPr>
        <w:t xml:space="preserve"> –</w:t>
      </w:r>
      <w:r w:rsidR="008F335D">
        <w:rPr>
          <w:rFonts w:ascii="Times New Roman" w:hAnsi="Times New Roman"/>
          <w:sz w:val="22"/>
          <w:szCs w:val="22"/>
        </w:rPr>
        <w:t xml:space="preserve"> </w:t>
      </w:r>
      <w:r w:rsidR="00C2259C">
        <w:rPr>
          <w:rFonts w:ascii="Times New Roman" w:hAnsi="Times New Roman"/>
          <w:sz w:val="22"/>
          <w:szCs w:val="22"/>
        </w:rPr>
        <w:t>termiņš saskaņā ar Līguma 1.p</w:t>
      </w:r>
      <w:r w:rsidRPr="008240E0">
        <w:rPr>
          <w:rFonts w:ascii="Times New Roman" w:hAnsi="Times New Roman"/>
          <w:sz w:val="22"/>
          <w:szCs w:val="22"/>
        </w:rPr>
        <w:t>ielikum</w:t>
      </w:r>
      <w:r w:rsidR="00C2259C">
        <w:rPr>
          <w:rFonts w:ascii="Times New Roman" w:hAnsi="Times New Roman"/>
          <w:sz w:val="22"/>
          <w:szCs w:val="22"/>
        </w:rPr>
        <w:t xml:space="preserve">u, līdz kuram Finansētājs noslēdz </w:t>
      </w:r>
      <w:r w:rsidR="00DF75D5" w:rsidRPr="008240E0">
        <w:rPr>
          <w:rFonts w:ascii="Times New Roman" w:hAnsi="Times New Roman"/>
          <w:sz w:val="22"/>
          <w:szCs w:val="22"/>
        </w:rPr>
        <w:t xml:space="preserve">Finanšu pakalpojumu </w:t>
      </w:r>
      <w:r w:rsidR="00E53A02" w:rsidRPr="008240E0">
        <w:rPr>
          <w:rFonts w:ascii="Times New Roman" w:hAnsi="Times New Roman"/>
          <w:sz w:val="22"/>
          <w:szCs w:val="22"/>
        </w:rPr>
        <w:t>līgumu</w:t>
      </w:r>
      <w:r w:rsidR="00C2259C">
        <w:rPr>
          <w:rFonts w:ascii="Times New Roman" w:hAnsi="Times New Roman"/>
          <w:sz w:val="22"/>
          <w:szCs w:val="22"/>
        </w:rPr>
        <w:t>s</w:t>
      </w:r>
      <w:r w:rsidR="004B6803" w:rsidRPr="008240E0">
        <w:rPr>
          <w:rFonts w:ascii="Times New Roman" w:hAnsi="Times New Roman"/>
          <w:sz w:val="22"/>
          <w:szCs w:val="22"/>
        </w:rPr>
        <w:t>.</w:t>
      </w:r>
      <w:r w:rsidR="00286CF6" w:rsidRPr="008240E0">
        <w:rPr>
          <w:rFonts w:ascii="Times New Roman" w:hAnsi="Times New Roman"/>
          <w:sz w:val="22"/>
          <w:szCs w:val="22"/>
        </w:rPr>
        <w:t xml:space="preserve"> Šo termi</w:t>
      </w:r>
      <w:r w:rsidR="00286CF6" w:rsidRPr="008240E0">
        <w:rPr>
          <w:rFonts w:ascii="Times New Roman" w:hAnsi="Times New Roman" w:hint="eastAsia"/>
          <w:sz w:val="22"/>
          <w:szCs w:val="22"/>
        </w:rPr>
        <w:t>ņ</w:t>
      </w:r>
      <w:r w:rsidR="00286CF6" w:rsidRPr="008240E0">
        <w:rPr>
          <w:rFonts w:ascii="Times New Roman" w:hAnsi="Times New Roman"/>
          <w:sz w:val="22"/>
          <w:szCs w:val="22"/>
        </w:rPr>
        <w:t>u var pagarin</w:t>
      </w:r>
      <w:r w:rsidR="00286CF6" w:rsidRPr="008240E0">
        <w:rPr>
          <w:rFonts w:ascii="Times New Roman" w:hAnsi="Times New Roman" w:hint="eastAsia"/>
          <w:sz w:val="22"/>
          <w:szCs w:val="22"/>
        </w:rPr>
        <w:t>ā</w:t>
      </w:r>
      <w:r w:rsidR="00286CF6" w:rsidRPr="008240E0">
        <w:rPr>
          <w:rFonts w:ascii="Times New Roman" w:hAnsi="Times New Roman"/>
          <w:sz w:val="22"/>
          <w:szCs w:val="22"/>
        </w:rPr>
        <w:t>t</w:t>
      </w:r>
      <w:r w:rsidR="00286CF6" w:rsidRPr="00760FE5">
        <w:rPr>
          <w:rFonts w:ascii="Times New Roman" w:hAnsi="Times New Roman"/>
          <w:sz w:val="22"/>
          <w:szCs w:val="22"/>
        </w:rPr>
        <w:t xml:space="preserve"> vai sa</w:t>
      </w:r>
      <w:r w:rsidR="00286CF6" w:rsidRPr="00760FE5">
        <w:rPr>
          <w:rFonts w:ascii="Times New Roman" w:hAnsi="Times New Roman" w:hint="eastAsia"/>
          <w:sz w:val="22"/>
          <w:szCs w:val="22"/>
        </w:rPr>
        <w:t>ī</w:t>
      </w:r>
      <w:r w:rsidR="00286CF6" w:rsidRPr="00760FE5">
        <w:rPr>
          <w:rFonts w:ascii="Times New Roman" w:hAnsi="Times New Roman"/>
          <w:sz w:val="22"/>
          <w:szCs w:val="22"/>
        </w:rPr>
        <w:t>sin</w:t>
      </w:r>
      <w:r w:rsidR="00286CF6" w:rsidRPr="00760FE5">
        <w:rPr>
          <w:rFonts w:ascii="Times New Roman" w:hAnsi="Times New Roman" w:hint="eastAsia"/>
          <w:sz w:val="22"/>
          <w:szCs w:val="22"/>
        </w:rPr>
        <w:t>ā</w:t>
      </w:r>
      <w:r w:rsidR="00286CF6" w:rsidRPr="00760FE5">
        <w:rPr>
          <w:rFonts w:ascii="Times New Roman" w:hAnsi="Times New Roman"/>
          <w:sz w:val="22"/>
          <w:szCs w:val="22"/>
        </w:rPr>
        <w:t>t, izv</w:t>
      </w:r>
      <w:r w:rsidR="00286CF6" w:rsidRPr="00760FE5">
        <w:rPr>
          <w:rFonts w:ascii="Times New Roman" w:hAnsi="Times New Roman" w:hint="eastAsia"/>
          <w:sz w:val="22"/>
          <w:szCs w:val="22"/>
        </w:rPr>
        <w:t>ē</w:t>
      </w:r>
      <w:r w:rsidR="00286CF6" w:rsidRPr="00760FE5">
        <w:rPr>
          <w:rFonts w:ascii="Times New Roman" w:hAnsi="Times New Roman"/>
          <w:sz w:val="22"/>
          <w:szCs w:val="22"/>
        </w:rPr>
        <w:t>rt</w:t>
      </w:r>
      <w:r w:rsidR="00286CF6" w:rsidRPr="00760FE5">
        <w:rPr>
          <w:rFonts w:ascii="Times New Roman" w:hAnsi="Times New Roman" w:hint="eastAsia"/>
          <w:sz w:val="22"/>
          <w:szCs w:val="22"/>
        </w:rPr>
        <w:t>ē</w:t>
      </w:r>
      <w:r w:rsidR="00286CF6" w:rsidRPr="00760FE5">
        <w:rPr>
          <w:rFonts w:ascii="Times New Roman" w:hAnsi="Times New Roman"/>
          <w:sz w:val="22"/>
          <w:szCs w:val="22"/>
        </w:rPr>
        <w:t>jot programmas ieviešanas gaitu, pieejamo finans</w:t>
      </w:r>
      <w:r w:rsidR="00286CF6" w:rsidRPr="00760FE5">
        <w:rPr>
          <w:rFonts w:ascii="Times New Roman" w:hAnsi="Times New Roman" w:hint="eastAsia"/>
          <w:sz w:val="22"/>
          <w:szCs w:val="22"/>
        </w:rPr>
        <w:t>ē</w:t>
      </w:r>
      <w:r w:rsidR="00286CF6" w:rsidRPr="00760FE5">
        <w:rPr>
          <w:rFonts w:ascii="Times New Roman" w:hAnsi="Times New Roman"/>
          <w:sz w:val="22"/>
          <w:szCs w:val="22"/>
        </w:rPr>
        <w:t>jumu</w:t>
      </w:r>
      <w:r w:rsidR="008A6116" w:rsidRPr="00760FE5">
        <w:rPr>
          <w:rFonts w:ascii="Times New Roman" w:hAnsi="Times New Roman"/>
          <w:sz w:val="22"/>
          <w:szCs w:val="22"/>
        </w:rPr>
        <w:t>;</w:t>
      </w:r>
      <w:r w:rsidRPr="00760FE5">
        <w:rPr>
          <w:rFonts w:ascii="Times New Roman" w:hAnsi="Times New Roman"/>
          <w:sz w:val="22"/>
          <w:szCs w:val="22"/>
        </w:rPr>
        <w:t xml:space="preserve"> </w:t>
      </w:r>
    </w:p>
    <w:p w14:paraId="73D44E57" w14:textId="0B3232D9" w:rsidR="00314B41" w:rsidRPr="00901D53" w:rsidRDefault="00314B41" w:rsidP="008A6116">
      <w:pPr>
        <w:pStyle w:val="ListParagraph"/>
        <w:numPr>
          <w:ilvl w:val="1"/>
          <w:numId w:val="14"/>
        </w:numPr>
        <w:jc w:val="both"/>
        <w:rPr>
          <w:rFonts w:ascii="Times New Roman" w:hAnsi="Times New Roman"/>
          <w:sz w:val="22"/>
          <w:szCs w:val="22"/>
        </w:rPr>
      </w:pPr>
      <w:r w:rsidRPr="00901D53">
        <w:rPr>
          <w:rFonts w:ascii="Times New Roman" w:hAnsi="Times New Roman"/>
          <w:b/>
          <w:bCs/>
          <w:sz w:val="22"/>
          <w:szCs w:val="22"/>
        </w:rPr>
        <w:t>Atlases noteikumi</w:t>
      </w:r>
      <w:r w:rsidRPr="00901D53">
        <w:rPr>
          <w:rFonts w:ascii="Times New Roman" w:hAnsi="Times New Roman"/>
          <w:sz w:val="22"/>
          <w:szCs w:val="22"/>
        </w:rPr>
        <w:t xml:space="preserve"> – studiju un studējošo kreditēšanas </w:t>
      </w:r>
      <w:proofErr w:type="spellStart"/>
      <w:r w:rsidRPr="00901D53">
        <w:rPr>
          <w:rFonts w:ascii="Times New Roman" w:hAnsi="Times New Roman"/>
          <w:sz w:val="22"/>
          <w:szCs w:val="22"/>
        </w:rPr>
        <w:t>portfeļgarantiju</w:t>
      </w:r>
      <w:proofErr w:type="spellEnd"/>
      <w:r w:rsidRPr="00901D53">
        <w:rPr>
          <w:rFonts w:ascii="Times New Roman" w:hAnsi="Times New Roman"/>
          <w:sz w:val="22"/>
          <w:szCs w:val="22"/>
        </w:rPr>
        <w:t xml:space="preserve"> programmas </w:t>
      </w:r>
      <w:r w:rsidR="00C04354" w:rsidRPr="00901D53">
        <w:rPr>
          <w:rFonts w:ascii="Times New Roman" w:hAnsi="Times New Roman"/>
          <w:sz w:val="22"/>
          <w:szCs w:val="22"/>
        </w:rPr>
        <w:t>pretendentu pieteikumu iesniegš</w:t>
      </w:r>
      <w:r w:rsidR="00E53FAF" w:rsidRPr="00901D53">
        <w:rPr>
          <w:rFonts w:ascii="Times New Roman" w:hAnsi="Times New Roman"/>
          <w:sz w:val="22"/>
          <w:szCs w:val="22"/>
        </w:rPr>
        <w:t>a</w:t>
      </w:r>
      <w:r w:rsidR="00C04354" w:rsidRPr="00901D53">
        <w:rPr>
          <w:rFonts w:ascii="Times New Roman" w:hAnsi="Times New Roman"/>
          <w:sz w:val="22"/>
          <w:szCs w:val="22"/>
        </w:rPr>
        <w:t xml:space="preserve">nas un izvērtēšanas </w:t>
      </w:r>
      <w:r w:rsidRPr="00901D53">
        <w:rPr>
          <w:rFonts w:ascii="Times New Roman" w:hAnsi="Times New Roman"/>
          <w:sz w:val="22"/>
          <w:szCs w:val="22"/>
        </w:rPr>
        <w:t>noteikumi;</w:t>
      </w:r>
    </w:p>
    <w:p w14:paraId="6BFA1A60" w14:textId="3547AE20" w:rsidR="00EE2CDE" w:rsidRPr="00EE2CDE" w:rsidRDefault="00EE2CDE" w:rsidP="008A6116">
      <w:pPr>
        <w:pStyle w:val="ListParagraph"/>
        <w:numPr>
          <w:ilvl w:val="1"/>
          <w:numId w:val="14"/>
        </w:numPr>
        <w:jc w:val="both"/>
        <w:rPr>
          <w:rFonts w:ascii="Times New Roman" w:hAnsi="Times New Roman"/>
          <w:sz w:val="22"/>
          <w:szCs w:val="22"/>
        </w:rPr>
      </w:pPr>
      <w:r w:rsidRPr="00EE2CDE">
        <w:rPr>
          <w:rFonts w:ascii="Times New Roman" w:hAnsi="Times New Roman"/>
          <w:b/>
          <w:bCs/>
          <w:sz w:val="22"/>
          <w:szCs w:val="22"/>
        </w:rPr>
        <w:t>Fiks</w:t>
      </w:r>
      <w:r w:rsidRPr="00EE2CDE">
        <w:rPr>
          <w:rFonts w:ascii="Times New Roman" w:hAnsi="Times New Roman" w:hint="eastAsia"/>
          <w:b/>
          <w:bCs/>
          <w:sz w:val="22"/>
          <w:szCs w:val="22"/>
        </w:rPr>
        <w:t>ē</w:t>
      </w:r>
      <w:r w:rsidRPr="00EE2CDE">
        <w:rPr>
          <w:rFonts w:ascii="Times New Roman" w:hAnsi="Times New Roman"/>
          <w:b/>
          <w:bCs/>
          <w:sz w:val="22"/>
          <w:szCs w:val="22"/>
        </w:rPr>
        <w:t>t</w:t>
      </w:r>
      <w:r w:rsidRPr="00EE2CDE">
        <w:rPr>
          <w:rFonts w:ascii="Times New Roman" w:hAnsi="Times New Roman" w:hint="eastAsia"/>
          <w:b/>
          <w:bCs/>
          <w:sz w:val="22"/>
          <w:szCs w:val="22"/>
        </w:rPr>
        <w:t>ā</w:t>
      </w:r>
      <w:r w:rsidRPr="00EE2CDE">
        <w:rPr>
          <w:rFonts w:ascii="Times New Roman" w:hAnsi="Times New Roman"/>
          <w:b/>
          <w:bCs/>
          <w:sz w:val="22"/>
          <w:szCs w:val="22"/>
        </w:rPr>
        <w:t xml:space="preserve"> atg</w:t>
      </w:r>
      <w:r w:rsidRPr="00EE2CDE">
        <w:rPr>
          <w:rFonts w:ascii="Times New Roman" w:hAnsi="Times New Roman" w:hint="eastAsia"/>
          <w:b/>
          <w:bCs/>
          <w:sz w:val="22"/>
          <w:szCs w:val="22"/>
        </w:rPr>
        <w:t>ūš</w:t>
      </w:r>
      <w:r w:rsidRPr="00EE2CDE">
        <w:rPr>
          <w:rFonts w:ascii="Times New Roman" w:hAnsi="Times New Roman"/>
          <w:b/>
          <w:bCs/>
          <w:sz w:val="22"/>
          <w:szCs w:val="22"/>
        </w:rPr>
        <w:t>anas likme</w:t>
      </w:r>
      <w:r w:rsidRPr="00EE2CDE">
        <w:rPr>
          <w:rFonts w:ascii="Times New Roman" w:hAnsi="Times New Roman"/>
          <w:sz w:val="22"/>
          <w:szCs w:val="22"/>
        </w:rPr>
        <w:t xml:space="preserve"> – </w:t>
      </w:r>
      <w:r w:rsidR="00567A5D">
        <w:rPr>
          <w:rFonts w:ascii="Times New Roman" w:hAnsi="Times New Roman"/>
          <w:sz w:val="22"/>
          <w:szCs w:val="22"/>
        </w:rPr>
        <w:t xml:space="preserve">likme, kas norādīta Pielikumā Nr.1 kā procentuāli izteikta fiksētā atgūšanas likme un kas atbilst Finansētāja pieņemtajai no Kredīta ņēmēja atgūstamajai summai, par ko </w:t>
      </w:r>
      <w:r w:rsidR="00452799">
        <w:rPr>
          <w:rFonts w:ascii="Times New Roman" w:hAnsi="Times New Roman"/>
          <w:sz w:val="22"/>
          <w:szCs w:val="22"/>
        </w:rPr>
        <w:t>ALTUM</w:t>
      </w:r>
      <w:r w:rsidR="00452799" w:rsidRPr="00EE2CDE">
        <w:rPr>
          <w:rFonts w:ascii="Times New Roman" w:hAnsi="Times New Roman"/>
          <w:sz w:val="22"/>
          <w:szCs w:val="22"/>
        </w:rPr>
        <w:t xml:space="preserve"> </w:t>
      </w:r>
      <w:r w:rsidRPr="00EE2CDE">
        <w:rPr>
          <w:rFonts w:ascii="Times New Roman" w:hAnsi="Times New Roman"/>
          <w:sz w:val="22"/>
          <w:szCs w:val="22"/>
        </w:rPr>
        <w:t>samazina par katru dar</w:t>
      </w:r>
      <w:r w:rsidRPr="00EE2CDE">
        <w:rPr>
          <w:rFonts w:ascii="Times New Roman" w:hAnsi="Times New Roman" w:hint="eastAsia"/>
          <w:sz w:val="22"/>
          <w:szCs w:val="22"/>
        </w:rPr>
        <w:t>ī</w:t>
      </w:r>
      <w:r w:rsidRPr="00EE2CDE">
        <w:rPr>
          <w:rFonts w:ascii="Times New Roman" w:hAnsi="Times New Roman"/>
          <w:sz w:val="22"/>
          <w:szCs w:val="22"/>
        </w:rPr>
        <w:t>jumu izmaks</w:t>
      </w:r>
      <w:r w:rsidRPr="00EE2CDE">
        <w:rPr>
          <w:rFonts w:ascii="Times New Roman" w:hAnsi="Times New Roman" w:hint="eastAsia"/>
          <w:sz w:val="22"/>
          <w:szCs w:val="22"/>
        </w:rPr>
        <w:t>ā</w:t>
      </w:r>
      <w:r w:rsidRPr="00EE2CDE">
        <w:rPr>
          <w:rFonts w:ascii="Times New Roman" w:hAnsi="Times New Roman"/>
          <w:sz w:val="22"/>
          <w:szCs w:val="22"/>
        </w:rPr>
        <w:t>jamo kompens</w:t>
      </w:r>
      <w:r w:rsidRPr="00EE2CDE">
        <w:rPr>
          <w:rFonts w:ascii="Times New Roman" w:hAnsi="Times New Roman" w:hint="eastAsia"/>
          <w:sz w:val="22"/>
          <w:szCs w:val="22"/>
        </w:rPr>
        <w:t>ā</w:t>
      </w:r>
      <w:r w:rsidRPr="00EE2CDE">
        <w:rPr>
          <w:rFonts w:ascii="Times New Roman" w:hAnsi="Times New Roman"/>
          <w:sz w:val="22"/>
          <w:szCs w:val="22"/>
        </w:rPr>
        <w:t>ciju;</w:t>
      </w:r>
    </w:p>
    <w:p w14:paraId="4FF396BD" w14:textId="19584FCD" w:rsidR="005D5E1C" w:rsidRPr="00901D53" w:rsidRDefault="008A6116" w:rsidP="008A6116">
      <w:pPr>
        <w:pStyle w:val="ListParagraph"/>
        <w:numPr>
          <w:ilvl w:val="1"/>
          <w:numId w:val="14"/>
        </w:numPr>
        <w:jc w:val="both"/>
        <w:rPr>
          <w:rFonts w:ascii="Times New Roman" w:hAnsi="Times New Roman"/>
          <w:sz w:val="22"/>
          <w:szCs w:val="22"/>
        </w:rPr>
      </w:pPr>
      <w:r w:rsidRPr="00901D53">
        <w:rPr>
          <w:rFonts w:ascii="Times New Roman" w:hAnsi="Times New Roman"/>
          <w:b/>
          <w:bCs/>
          <w:sz w:val="22"/>
          <w:szCs w:val="22"/>
        </w:rPr>
        <w:t>F</w:t>
      </w:r>
      <w:r w:rsidR="005D5E1C" w:rsidRPr="00901D53">
        <w:rPr>
          <w:rFonts w:ascii="Times New Roman" w:hAnsi="Times New Roman"/>
          <w:b/>
          <w:bCs/>
          <w:sz w:val="22"/>
          <w:szCs w:val="22"/>
        </w:rPr>
        <w:t>inanšu pakalpojuma līgums</w:t>
      </w:r>
      <w:r w:rsidR="005D5E1C" w:rsidRPr="00901D53">
        <w:rPr>
          <w:rFonts w:ascii="Times New Roman" w:hAnsi="Times New Roman"/>
          <w:sz w:val="22"/>
          <w:szCs w:val="22"/>
        </w:rPr>
        <w:t xml:space="preserve"> – starp Finansētāju un Kredīta ņēmēju noslēgts līgums par Finanšu pakalpojuma sniegšanu</w:t>
      </w:r>
      <w:r w:rsidRPr="00901D53">
        <w:rPr>
          <w:rFonts w:ascii="Times New Roman" w:hAnsi="Times New Roman"/>
          <w:sz w:val="22"/>
          <w:szCs w:val="22"/>
        </w:rPr>
        <w:t>;</w:t>
      </w:r>
    </w:p>
    <w:p w14:paraId="1441D826" w14:textId="70659C21" w:rsidR="005D5E1C" w:rsidRPr="00901D53" w:rsidRDefault="005D5E1C" w:rsidP="008A6116">
      <w:pPr>
        <w:pStyle w:val="ListParagraph"/>
        <w:numPr>
          <w:ilvl w:val="1"/>
          <w:numId w:val="14"/>
        </w:numPr>
        <w:jc w:val="both"/>
        <w:rPr>
          <w:rFonts w:ascii="Times New Roman" w:hAnsi="Times New Roman"/>
          <w:sz w:val="22"/>
          <w:szCs w:val="22"/>
        </w:rPr>
      </w:pPr>
      <w:r w:rsidRPr="00901D53">
        <w:rPr>
          <w:rFonts w:ascii="Times New Roman" w:hAnsi="Times New Roman"/>
          <w:b/>
          <w:bCs/>
          <w:sz w:val="22"/>
          <w:szCs w:val="22"/>
        </w:rPr>
        <w:t>Finanšu pakalpojums</w:t>
      </w:r>
      <w:r w:rsidRPr="00901D53">
        <w:rPr>
          <w:rFonts w:ascii="Times New Roman" w:hAnsi="Times New Roman"/>
          <w:sz w:val="22"/>
          <w:szCs w:val="22"/>
        </w:rPr>
        <w:t xml:space="preserve">  – Finansētāja atbilstoši MK noteikumiem Kredīta ņēmējam izsniegtais studiju un/vai studējoš</w:t>
      </w:r>
      <w:r w:rsidR="008451F0">
        <w:rPr>
          <w:rFonts w:ascii="Times New Roman" w:hAnsi="Times New Roman"/>
          <w:sz w:val="22"/>
          <w:szCs w:val="22"/>
        </w:rPr>
        <w:t>ā</w:t>
      </w:r>
      <w:r w:rsidRPr="00901D53">
        <w:rPr>
          <w:rFonts w:ascii="Times New Roman" w:hAnsi="Times New Roman"/>
          <w:sz w:val="22"/>
          <w:szCs w:val="22"/>
        </w:rPr>
        <w:t xml:space="preserve"> kredīts, </w:t>
      </w:r>
      <w:r w:rsidR="00C2259C">
        <w:rPr>
          <w:rFonts w:ascii="Times New Roman" w:hAnsi="Times New Roman"/>
          <w:sz w:val="22"/>
          <w:szCs w:val="22"/>
        </w:rPr>
        <w:t xml:space="preserve">par kuru </w:t>
      </w:r>
      <w:r w:rsidR="00A0114A">
        <w:rPr>
          <w:rFonts w:ascii="Times New Roman" w:hAnsi="Times New Roman"/>
          <w:sz w:val="22"/>
          <w:szCs w:val="22"/>
        </w:rPr>
        <w:t xml:space="preserve">Finansētājs ar Kredīta ņēmēju var noslēgt </w:t>
      </w:r>
      <w:r w:rsidR="00C2259C">
        <w:rPr>
          <w:rFonts w:ascii="Times New Roman" w:hAnsi="Times New Roman"/>
          <w:sz w:val="22"/>
          <w:szCs w:val="22"/>
        </w:rPr>
        <w:t xml:space="preserve">Finanšu pakalpojumu līgumu </w:t>
      </w:r>
      <w:r w:rsidRPr="00901D53">
        <w:rPr>
          <w:rFonts w:ascii="Times New Roman" w:hAnsi="Times New Roman"/>
          <w:sz w:val="22"/>
          <w:szCs w:val="22"/>
        </w:rPr>
        <w:t>Atbilstības periodā un kuram Finansētājs piemēro Piedāvājumā norādītos noteikumus</w:t>
      </w:r>
      <w:r w:rsidR="001603E3">
        <w:rPr>
          <w:rFonts w:ascii="Times New Roman" w:hAnsi="Times New Roman"/>
          <w:sz w:val="22"/>
          <w:szCs w:val="22"/>
        </w:rPr>
        <w:t xml:space="preserve"> un kurš ar izsniegšanas brīdi tiek iekļauts Aizdevumu portfelī</w:t>
      </w:r>
      <w:r w:rsidR="008A6116" w:rsidRPr="00901D53">
        <w:rPr>
          <w:rFonts w:ascii="Times New Roman" w:hAnsi="Times New Roman"/>
          <w:sz w:val="22"/>
          <w:szCs w:val="22"/>
        </w:rPr>
        <w:t>;</w:t>
      </w:r>
    </w:p>
    <w:p w14:paraId="0C954C5F" w14:textId="1277B029" w:rsidR="008A6116" w:rsidRPr="00901D53" w:rsidRDefault="005D5E1C" w:rsidP="008A6116">
      <w:pPr>
        <w:pStyle w:val="ListParagraph"/>
        <w:numPr>
          <w:ilvl w:val="1"/>
          <w:numId w:val="14"/>
        </w:numPr>
        <w:jc w:val="both"/>
        <w:rPr>
          <w:rFonts w:ascii="Times New Roman" w:hAnsi="Times New Roman"/>
          <w:sz w:val="22"/>
          <w:szCs w:val="22"/>
        </w:rPr>
      </w:pPr>
      <w:r w:rsidRPr="00901D53">
        <w:rPr>
          <w:rFonts w:ascii="Times New Roman" w:hAnsi="Times New Roman"/>
          <w:b/>
          <w:bCs/>
          <w:sz w:val="22"/>
          <w:szCs w:val="22"/>
        </w:rPr>
        <w:t>Garantija</w:t>
      </w:r>
      <w:r w:rsidR="003F413A">
        <w:rPr>
          <w:rFonts w:ascii="Times New Roman" w:hAnsi="Times New Roman"/>
          <w:b/>
          <w:bCs/>
          <w:sz w:val="22"/>
          <w:szCs w:val="22"/>
        </w:rPr>
        <w:t xml:space="preserve"> </w:t>
      </w:r>
      <w:r w:rsidRPr="00901D53">
        <w:rPr>
          <w:rFonts w:ascii="Times New Roman" w:hAnsi="Times New Roman"/>
          <w:sz w:val="22"/>
          <w:szCs w:val="22"/>
        </w:rPr>
        <w:t xml:space="preserve">– </w:t>
      </w:r>
      <w:r w:rsidR="00CF3E1B" w:rsidRPr="00CF3E1B">
        <w:rPr>
          <w:rFonts w:ascii="Times New Roman" w:hAnsi="Times New Roman"/>
          <w:sz w:val="22"/>
          <w:szCs w:val="22"/>
        </w:rPr>
        <w:t xml:space="preserve">ALTUM saistības Līgumā un MK noteikumos noteiktajā apmērā un atbilstoši ALTUM pieejamajam valsts budžeta </w:t>
      </w:r>
      <w:r w:rsidR="008F335D" w:rsidRPr="003D1C3E">
        <w:rPr>
          <w:rFonts w:ascii="Times New Roman" w:hAnsi="Times New Roman"/>
          <w:sz w:val="22"/>
          <w:szCs w:val="22"/>
        </w:rPr>
        <w:t>un starptautisko finanšu institūciju līdzekļu</w:t>
      </w:r>
      <w:r w:rsidR="008F335D" w:rsidRPr="008F335D">
        <w:rPr>
          <w:rFonts w:ascii="Times New Roman" w:hAnsi="Times New Roman"/>
          <w:sz w:val="22"/>
          <w:szCs w:val="22"/>
        </w:rPr>
        <w:t xml:space="preserve"> </w:t>
      </w:r>
      <w:r w:rsidR="00CF3E1B" w:rsidRPr="00CF3E1B">
        <w:rPr>
          <w:rFonts w:ascii="Times New Roman" w:hAnsi="Times New Roman"/>
          <w:sz w:val="22"/>
          <w:szCs w:val="22"/>
        </w:rPr>
        <w:t xml:space="preserve">finansējumam segt Finansētāja zaudējumus, kas radušies, ja Kredīta ņēmējs nepilda saistības par Finansētāja izsniegto Finanšu pakalpojumu. Līguma parakstīšanas brīdī ALTUM pieejamais finansējums norādīts Līguma speciālajos noteikumos (Pielikums Nr.1). Programmas īstenošanai pieejamo un ALTUM piešķiramo finansējumu apstiprina Saeima Likumā par valsts budžetu  vai atsevišķus lēmumus pieņem Ministru kabinets. ALTUM līdz katra gada 10.janvārim informēs Finansētāju, ja Saeima Likumā par valsts budžetu neparedz finansējumu turpmākai Programmas īstenošanai vai paredz mazākā apjomā kā iepriekš </w:t>
      </w:r>
      <w:r w:rsidR="00CF3E1B" w:rsidRPr="00CF3E1B">
        <w:rPr>
          <w:rFonts w:ascii="Times New Roman" w:hAnsi="Times New Roman"/>
          <w:sz w:val="22"/>
          <w:szCs w:val="22"/>
        </w:rPr>
        <w:lastRenderedPageBreak/>
        <w:t>plānots. Ja Likumā par valsts budžetu nav paredzēts finansējums programmai vai paredzētais finansējums ir mazāks par Aizdevumu portfeļa prognozē norādīto summu, tad ALTUM neuzņemas saistības par Finansētāja iepriekšējos gados piešķirto kredītu turpmāku izsniegšanu attiecībā uz summām, kas pārsniedz Maksimālo izsniedzamo Finanšu pakalpojumu summu. Ja līdz 10.janvārim ALTUM nav nosūtījusi šādu paziņojumu Finansētājam, tad Finansētājs attiecīgajā kalendārajā gadā ir tiesīgs izsniegt (izmaksāt) Finanšu pakalpojumu Maksimāli izsniedzamās Finanšu pakalpojumu summas apmērā (ja tāda attiecīgajam gadam noteikta).</w:t>
      </w:r>
      <w:r w:rsidRPr="00901D53">
        <w:rPr>
          <w:rFonts w:ascii="Times New Roman" w:hAnsi="Times New Roman"/>
          <w:sz w:val="22"/>
          <w:szCs w:val="22"/>
        </w:rPr>
        <w:t>;</w:t>
      </w:r>
    </w:p>
    <w:p w14:paraId="3B1CED04" w14:textId="5283C3D1" w:rsidR="008A6116" w:rsidRPr="002D1E32" w:rsidRDefault="005D5E1C" w:rsidP="008A6116">
      <w:pPr>
        <w:pStyle w:val="ListParagraph"/>
        <w:numPr>
          <w:ilvl w:val="1"/>
          <w:numId w:val="14"/>
        </w:numPr>
        <w:jc w:val="both"/>
        <w:rPr>
          <w:rFonts w:ascii="Times New Roman" w:hAnsi="Times New Roman"/>
          <w:sz w:val="22"/>
          <w:szCs w:val="22"/>
        </w:rPr>
      </w:pPr>
      <w:bookmarkStart w:id="0" w:name="_Hlk46482483"/>
      <w:r w:rsidRPr="002D1E32">
        <w:rPr>
          <w:rFonts w:ascii="Times New Roman" w:hAnsi="Times New Roman"/>
          <w:b/>
          <w:bCs/>
          <w:sz w:val="22"/>
          <w:szCs w:val="22"/>
        </w:rPr>
        <w:t>Garantijas gadījums</w:t>
      </w:r>
      <w:bookmarkEnd w:id="0"/>
      <w:r w:rsidR="003F413A">
        <w:rPr>
          <w:rFonts w:ascii="Times New Roman" w:hAnsi="Times New Roman"/>
          <w:b/>
          <w:bCs/>
          <w:sz w:val="22"/>
          <w:szCs w:val="22"/>
        </w:rPr>
        <w:t xml:space="preserve"> </w:t>
      </w:r>
      <w:r w:rsidRPr="002D1E32">
        <w:rPr>
          <w:rFonts w:ascii="Times New Roman" w:hAnsi="Times New Roman"/>
          <w:sz w:val="22"/>
          <w:szCs w:val="22"/>
        </w:rPr>
        <w:t xml:space="preserve">– </w:t>
      </w:r>
      <w:r w:rsidR="00CF3E1B" w:rsidRPr="002D1E32">
        <w:rPr>
          <w:rFonts w:ascii="Times New Roman" w:hAnsi="Times New Roman"/>
          <w:sz w:val="22"/>
          <w:szCs w:val="22"/>
        </w:rPr>
        <w:t>tādu apstākļu iestāšanās Garantijas termiņa laikā, kas Finansētājam rada līgumiskas vai likumiskas tiesības pieprasīt Finanšu pakalpojuma pamatsummas pirmstermiņa atmaksu no Kredīta ņēmēja saskaņā ar Finanšu pakalpojuma līgumu, tā ir kavēta vismaz 90 kalendārās dienas, un Finansētājs ir pieprasījis Finanšu pakalpojuma pamatsummas parāda samaksu. Garantijas gadījums ir iestājies arī tad, ja Kredīta ņēmējs nav veicis Finanšu pakalpojuma pamatsummas atmaksu Finanšu pakalpojuma līgumā norādītajā galīgajā apmaksas termiņā un maksājuma kavējums ir vismaz 90 kalendārās dienas. Garantijas gadījums ir iestājies arī tad, ja Kredīta ņēmējs ir miris vai pēc kredītu izmaksas uzsākšanas Kredīta ņēmējam ir noteikta I vai II invaliditātes grupa vai tā tiek mainīta no vieglākas uz smagāku (uz I vai II grupu), neatkarīgi no tā, vai Kredīta ņēmējs ir kavējis Finanšu pakalpojuma samaksu un/vai Finansētājs ir pieprasījis Finanšu pakalpojuma pilnīgu pirmstermiņa atmaksu;</w:t>
      </w:r>
      <w:r w:rsidRPr="002D1E32">
        <w:rPr>
          <w:rFonts w:ascii="Times New Roman" w:hAnsi="Times New Roman"/>
          <w:sz w:val="22"/>
          <w:szCs w:val="22"/>
        </w:rPr>
        <w:t xml:space="preserve"> </w:t>
      </w:r>
    </w:p>
    <w:p w14:paraId="777FC040" w14:textId="14DF3994" w:rsidR="008A6116" w:rsidRPr="00901D53" w:rsidRDefault="005D5E1C" w:rsidP="008A6116">
      <w:pPr>
        <w:pStyle w:val="ListParagraph"/>
        <w:numPr>
          <w:ilvl w:val="1"/>
          <w:numId w:val="14"/>
        </w:numPr>
        <w:jc w:val="both"/>
        <w:rPr>
          <w:rFonts w:ascii="Times New Roman" w:hAnsi="Times New Roman"/>
          <w:sz w:val="22"/>
          <w:szCs w:val="22"/>
        </w:rPr>
      </w:pPr>
      <w:r w:rsidRPr="00901D53">
        <w:rPr>
          <w:rFonts w:ascii="Times New Roman" w:hAnsi="Times New Roman"/>
          <w:b/>
          <w:bCs/>
          <w:sz w:val="22"/>
          <w:szCs w:val="22"/>
        </w:rPr>
        <w:t>Garantijas likme</w:t>
      </w:r>
      <w:r w:rsidRPr="00901D53">
        <w:rPr>
          <w:rFonts w:ascii="Times New Roman" w:hAnsi="Times New Roman"/>
          <w:sz w:val="22"/>
          <w:szCs w:val="22"/>
        </w:rPr>
        <w:t xml:space="preserve"> – procentos izteikta Finansētāja zaudējumu daļa, ko Aizdevumu portfelī iekļautajam Finanšu pakalpojumam sedz Garantija</w:t>
      </w:r>
      <w:r w:rsidR="006E6329">
        <w:rPr>
          <w:rFonts w:ascii="Times New Roman" w:hAnsi="Times New Roman"/>
          <w:sz w:val="22"/>
          <w:szCs w:val="22"/>
        </w:rPr>
        <w:t>, kas ir  norādīta</w:t>
      </w:r>
      <w:r w:rsidR="006E6329" w:rsidRPr="006E6329">
        <w:t xml:space="preserve"> </w:t>
      </w:r>
      <w:r w:rsidR="006E6329" w:rsidRPr="006E6329">
        <w:rPr>
          <w:rFonts w:ascii="Times New Roman" w:hAnsi="Times New Roman"/>
          <w:sz w:val="22"/>
          <w:szCs w:val="22"/>
        </w:rPr>
        <w:t>Līguma speciālajos noteikumos (Pielikums Nr.1)</w:t>
      </w:r>
      <w:r w:rsidRPr="00901D53">
        <w:rPr>
          <w:rFonts w:ascii="Times New Roman" w:hAnsi="Times New Roman"/>
          <w:sz w:val="22"/>
          <w:szCs w:val="22"/>
        </w:rPr>
        <w:t>;</w:t>
      </w:r>
    </w:p>
    <w:p w14:paraId="02C6149A" w14:textId="7D16C9F5" w:rsidR="008A6116" w:rsidRPr="00901D53" w:rsidRDefault="005D5E1C" w:rsidP="00176DFB">
      <w:pPr>
        <w:pStyle w:val="ListParagraph"/>
        <w:numPr>
          <w:ilvl w:val="1"/>
          <w:numId w:val="14"/>
        </w:numPr>
        <w:jc w:val="both"/>
        <w:rPr>
          <w:rFonts w:ascii="Times New Roman" w:hAnsi="Times New Roman"/>
          <w:sz w:val="22"/>
          <w:szCs w:val="22"/>
        </w:rPr>
      </w:pPr>
      <w:bookmarkStart w:id="1" w:name="_Ref45200633"/>
      <w:r w:rsidRPr="00901D53">
        <w:rPr>
          <w:rFonts w:ascii="Times New Roman" w:hAnsi="Times New Roman"/>
          <w:b/>
          <w:bCs/>
          <w:sz w:val="22"/>
          <w:szCs w:val="22"/>
        </w:rPr>
        <w:t>Garantijas termiņš</w:t>
      </w:r>
      <w:r w:rsidR="003F413A">
        <w:rPr>
          <w:rFonts w:ascii="Times New Roman" w:hAnsi="Times New Roman"/>
          <w:b/>
          <w:bCs/>
          <w:sz w:val="22"/>
          <w:szCs w:val="22"/>
        </w:rPr>
        <w:t xml:space="preserve"> </w:t>
      </w:r>
      <w:r w:rsidRPr="00901D53">
        <w:rPr>
          <w:rFonts w:ascii="Times New Roman" w:hAnsi="Times New Roman"/>
          <w:sz w:val="22"/>
          <w:szCs w:val="22"/>
        </w:rPr>
        <w:t>– Finanšu pakalpojuma līguma termiņš, kurā Kredīta ņēmējam jāatmaksā</w:t>
      </w:r>
      <w:r w:rsidR="009E2091" w:rsidRPr="00901D53">
        <w:rPr>
          <w:rFonts w:ascii="Times New Roman" w:hAnsi="Times New Roman"/>
          <w:sz w:val="22"/>
          <w:szCs w:val="22"/>
        </w:rPr>
        <w:t xml:space="preserve"> </w:t>
      </w:r>
      <w:r w:rsidRPr="00901D53">
        <w:rPr>
          <w:rFonts w:ascii="Times New Roman" w:hAnsi="Times New Roman"/>
          <w:sz w:val="22"/>
          <w:szCs w:val="22"/>
        </w:rPr>
        <w:t>Finanšu pakalpojums</w:t>
      </w:r>
      <w:r w:rsidR="00901D53">
        <w:rPr>
          <w:rFonts w:ascii="Times New Roman" w:hAnsi="Times New Roman"/>
          <w:sz w:val="22"/>
          <w:szCs w:val="22"/>
        </w:rPr>
        <w:t>,</w:t>
      </w:r>
      <w:r w:rsidRPr="00901D53">
        <w:rPr>
          <w:rFonts w:ascii="Times New Roman" w:hAnsi="Times New Roman"/>
          <w:sz w:val="22"/>
          <w:szCs w:val="22"/>
        </w:rPr>
        <w:t xml:space="preserve"> kas noteikts ne ilgāk kā 10 gadu laikā pēc kredīta atmaksas uzsākšanas, vai arī ne ilgāk kā 15 gadu laikā, ja kredīta summa atmaksas uzsākšanas brīdī pārsniedz 20</w:t>
      </w:r>
      <w:r w:rsidR="00061AD6" w:rsidRPr="00901D53">
        <w:rPr>
          <w:rFonts w:ascii="Times New Roman" w:hAnsi="Times New Roman"/>
          <w:sz w:val="22"/>
          <w:szCs w:val="22"/>
        </w:rPr>
        <w:t xml:space="preserve"> </w:t>
      </w:r>
      <w:r w:rsidRPr="00901D53">
        <w:rPr>
          <w:rFonts w:ascii="Times New Roman" w:hAnsi="Times New Roman"/>
          <w:sz w:val="22"/>
          <w:szCs w:val="22"/>
        </w:rPr>
        <w:t>000 euro</w:t>
      </w:r>
      <w:r w:rsidR="0085288C">
        <w:rPr>
          <w:rFonts w:ascii="Times New Roman" w:hAnsi="Times New Roman"/>
          <w:sz w:val="22"/>
          <w:szCs w:val="22"/>
        </w:rPr>
        <w:t xml:space="preserve">, ievērojot MK noteikumu nosacījumus par </w:t>
      </w:r>
      <w:r w:rsidR="00D3771B" w:rsidRPr="00D3771B">
        <w:rPr>
          <w:rFonts w:ascii="Times New Roman" w:hAnsi="Times New Roman"/>
          <w:sz w:val="22"/>
          <w:szCs w:val="22"/>
        </w:rPr>
        <w:t>kred</w:t>
      </w:r>
      <w:r w:rsidR="00D3771B" w:rsidRPr="00D3771B">
        <w:rPr>
          <w:rFonts w:ascii="Times New Roman" w:hAnsi="Times New Roman" w:hint="eastAsia"/>
          <w:sz w:val="22"/>
          <w:szCs w:val="22"/>
        </w:rPr>
        <w:t>ī</w:t>
      </w:r>
      <w:r w:rsidR="00D3771B" w:rsidRPr="00D3771B">
        <w:rPr>
          <w:rFonts w:ascii="Times New Roman" w:hAnsi="Times New Roman"/>
          <w:sz w:val="22"/>
          <w:szCs w:val="22"/>
        </w:rPr>
        <w:t>ta pamatsummas atmaksas termi</w:t>
      </w:r>
      <w:r w:rsidR="00D3771B" w:rsidRPr="00D3771B">
        <w:rPr>
          <w:rFonts w:ascii="Times New Roman" w:hAnsi="Times New Roman" w:hint="eastAsia"/>
          <w:sz w:val="22"/>
          <w:szCs w:val="22"/>
        </w:rPr>
        <w:t>ņ</w:t>
      </w:r>
      <w:r w:rsidR="00D3771B">
        <w:rPr>
          <w:rFonts w:ascii="Times New Roman" w:hAnsi="Times New Roman"/>
          <w:sz w:val="22"/>
          <w:szCs w:val="22"/>
        </w:rPr>
        <w:t>a pagarināšanu</w:t>
      </w:r>
      <w:r w:rsidR="00D3771B" w:rsidRPr="00D3771B">
        <w:rPr>
          <w:rFonts w:ascii="Times New Roman" w:hAnsi="Times New Roman"/>
          <w:sz w:val="22"/>
          <w:szCs w:val="22"/>
        </w:rPr>
        <w:t xml:space="preserve"> bezdarba laiku,</w:t>
      </w:r>
      <w:r w:rsidR="00A20DA1">
        <w:rPr>
          <w:rFonts w:ascii="Times New Roman" w:hAnsi="Times New Roman"/>
          <w:sz w:val="22"/>
          <w:szCs w:val="22"/>
        </w:rPr>
        <w:t xml:space="preserve"> </w:t>
      </w:r>
      <w:r w:rsidR="00567A5D">
        <w:rPr>
          <w:rFonts w:ascii="Times New Roman" w:hAnsi="Times New Roman"/>
          <w:sz w:val="22"/>
          <w:szCs w:val="22"/>
        </w:rPr>
        <w:t xml:space="preserve">kura </w:t>
      </w:r>
      <w:r w:rsidR="00A20DA1">
        <w:rPr>
          <w:rFonts w:ascii="Times New Roman" w:hAnsi="Times New Roman"/>
          <w:sz w:val="22"/>
          <w:szCs w:val="22"/>
        </w:rPr>
        <w:t>piemērošanas gadījumā Garantijas termiņš tiek attiecīgi pagarināts</w:t>
      </w:r>
      <w:r w:rsidRPr="00901D53">
        <w:rPr>
          <w:rFonts w:ascii="Times New Roman" w:hAnsi="Times New Roman"/>
          <w:sz w:val="22"/>
          <w:szCs w:val="22"/>
        </w:rPr>
        <w:t>;</w:t>
      </w:r>
      <w:bookmarkEnd w:id="1"/>
    </w:p>
    <w:p w14:paraId="5D214298" w14:textId="49C36F51" w:rsidR="008A6116" w:rsidRPr="00901D53" w:rsidRDefault="005D5E1C" w:rsidP="008A6116">
      <w:pPr>
        <w:pStyle w:val="ListParagraph"/>
        <w:numPr>
          <w:ilvl w:val="1"/>
          <w:numId w:val="14"/>
        </w:numPr>
        <w:jc w:val="both"/>
        <w:rPr>
          <w:rFonts w:ascii="Times New Roman" w:hAnsi="Times New Roman"/>
          <w:sz w:val="22"/>
          <w:szCs w:val="22"/>
        </w:rPr>
      </w:pPr>
      <w:r w:rsidRPr="00901D53">
        <w:rPr>
          <w:rFonts w:ascii="Times New Roman" w:hAnsi="Times New Roman"/>
          <w:b/>
          <w:bCs/>
          <w:sz w:val="22"/>
          <w:szCs w:val="22"/>
        </w:rPr>
        <w:t>Garantiju portfelis</w:t>
      </w:r>
      <w:r w:rsidRPr="00901D53">
        <w:rPr>
          <w:rFonts w:ascii="Times New Roman" w:hAnsi="Times New Roman"/>
          <w:sz w:val="22"/>
          <w:szCs w:val="22"/>
        </w:rPr>
        <w:t xml:space="preserve"> – Aizdevumu portfelī iekļautajiem kredītiem izsniegto Garantiju kopums;</w:t>
      </w:r>
    </w:p>
    <w:p w14:paraId="05E226B2" w14:textId="0A562B71" w:rsidR="008A6116" w:rsidRPr="00901D53" w:rsidRDefault="005D5E1C" w:rsidP="008A6116">
      <w:pPr>
        <w:pStyle w:val="ListParagraph"/>
        <w:numPr>
          <w:ilvl w:val="1"/>
          <w:numId w:val="14"/>
        </w:numPr>
        <w:jc w:val="both"/>
        <w:rPr>
          <w:rFonts w:ascii="Times New Roman" w:hAnsi="Times New Roman"/>
          <w:sz w:val="22"/>
          <w:szCs w:val="22"/>
        </w:rPr>
      </w:pPr>
      <w:r w:rsidRPr="00901D53">
        <w:rPr>
          <w:rFonts w:ascii="Times New Roman" w:hAnsi="Times New Roman"/>
          <w:b/>
          <w:bCs/>
          <w:sz w:val="22"/>
          <w:szCs w:val="22"/>
        </w:rPr>
        <w:t>Ierobežotā garantijas likme</w:t>
      </w:r>
      <w:r w:rsidRPr="00901D53">
        <w:rPr>
          <w:rFonts w:ascii="Times New Roman" w:hAnsi="Times New Roman"/>
          <w:sz w:val="22"/>
          <w:szCs w:val="22"/>
        </w:rPr>
        <w:t xml:space="preserve"> </w:t>
      </w:r>
      <w:r w:rsidRPr="00901D53">
        <w:rPr>
          <w:rFonts w:ascii="Times New Roman" w:hAnsi="Times New Roman"/>
          <w:i/>
          <w:iCs/>
          <w:sz w:val="22"/>
          <w:szCs w:val="22"/>
        </w:rPr>
        <w:t>(</w:t>
      </w:r>
      <w:proofErr w:type="spellStart"/>
      <w:r w:rsidRPr="00901D53">
        <w:rPr>
          <w:rFonts w:ascii="Times New Roman" w:hAnsi="Times New Roman"/>
          <w:i/>
          <w:iCs/>
          <w:sz w:val="22"/>
          <w:szCs w:val="22"/>
        </w:rPr>
        <w:t>guarantee</w:t>
      </w:r>
      <w:proofErr w:type="spellEnd"/>
      <w:r w:rsidRPr="00901D53">
        <w:rPr>
          <w:rFonts w:ascii="Times New Roman" w:hAnsi="Times New Roman"/>
          <w:i/>
          <w:iCs/>
          <w:sz w:val="22"/>
          <w:szCs w:val="22"/>
        </w:rPr>
        <w:t xml:space="preserve"> </w:t>
      </w:r>
      <w:proofErr w:type="spellStart"/>
      <w:r w:rsidRPr="00901D53">
        <w:rPr>
          <w:rFonts w:ascii="Times New Roman" w:hAnsi="Times New Roman"/>
          <w:i/>
          <w:iCs/>
          <w:sz w:val="22"/>
          <w:szCs w:val="22"/>
        </w:rPr>
        <w:t>cap</w:t>
      </w:r>
      <w:proofErr w:type="spellEnd"/>
      <w:r w:rsidRPr="00901D53">
        <w:rPr>
          <w:rFonts w:ascii="Times New Roman" w:hAnsi="Times New Roman"/>
          <w:i/>
          <w:iCs/>
          <w:sz w:val="22"/>
          <w:szCs w:val="22"/>
        </w:rPr>
        <w:t xml:space="preserve"> </w:t>
      </w:r>
      <w:proofErr w:type="spellStart"/>
      <w:r w:rsidRPr="00901D53">
        <w:rPr>
          <w:rFonts w:ascii="Times New Roman" w:hAnsi="Times New Roman"/>
          <w:i/>
          <w:iCs/>
          <w:sz w:val="22"/>
          <w:szCs w:val="22"/>
        </w:rPr>
        <w:t>rate</w:t>
      </w:r>
      <w:proofErr w:type="spellEnd"/>
      <w:r w:rsidRPr="00901D53">
        <w:rPr>
          <w:rFonts w:ascii="Times New Roman" w:hAnsi="Times New Roman"/>
          <w:i/>
          <w:iCs/>
          <w:sz w:val="22"/>
          <w:szCs w:val="22"/>
        </w:rPr>
        <w:t>)</w:t>
      </w:r>
      <w:r w:rsidRPr="00901D53">
        <w:rPr>
          <w:rFonts w:ascii="Times New Roman" w:hAnsi="Times New Roman"/>
          <w:sz w:val="22"/>
          <w:szCs w:val="22"/>
        </w:rPr>
        <w:t xml:space="preserve"> – procentos izteikta Garantiju portfeļa daļa, kuru sedz </w:t>
      </w:r>
      <w:proofErr w:type="spellStart"/>
      <w:r w:rsidRPr="00901D53">
        <w:rPr>
          <w:rFonts w:ascii="Times New Roman" w:hAnsi="Times New Roman"/>
          <w:sz w:val="22"/>
          <w:szCs w:val="22"/>
        </w:rPr>
        <w:t>portfeļgarantija</w:t>
      </w:r>
      <w:proofErr w:type="spellEnd"/>
      <w:r w:rsidR="00AA65A1" w:rsidRPr="00901D53">
        <w:rPr>
          <w:rFonts w:ascii="Times New Roman" w:hAnsi="Times New Roman"/>
          <w:sz w:val="22"/>
          <w:szCs w:val="22"/>
        </w:rPr>
        <w:t xml:space="preserve"> saskaņā ar</w:t>
      </w:r>
      <w:r w:rsidR="0032385B" w:rsidRPr="00901D53">
        <w:t xml:space="preserve"> </w:t>
      </w:r>
      <w:r w:rsidR="0032385B" w:rsidRPr="00901D53">
        <w:rPr>
          <w:rFonts w:ascii="Times New Roman" w:hAnsi="Times New Roman"/>
          <w:sz w:val="22"/>
          <w:szCs w:val="22"/>
        </w:rPr>
        <w:t>Līguma speciālajiem noteikumiem</w:t>
      </w:r>
      <w:r w:rsidR="00AA65A1" w:rsidRPr="00901D53">
        <w:rPr>
          <w:rFonts w:ascii="Times New Roman" w:hAnsi="Times New Roman"/>
          <w:sz w:val="22"/>
          <w:szCs w:val="22"/>
        </w:rPr>
        <w:t xml:space="preserve"> </w:t>
      </w:r>
      <w:r w:rsidR="0032385B" w:rsidRPr="00901D53">
        <w:rPr>
          <w:rFonts w:ascii="Times New Roman" w:hAnsi="Times New Roman"/>
          <w:sz w:val="22"/>
          <w:szCs w:val="22"/>
        </w:rPr>
        <w:t>(</w:t>
      </w:r>
      <w:r w:rsidR="005724E8" w:rsidRPr="00901D53">
        <w:rPr>
          <w:rFonts w:ascii="Times New Roman" w:hAnsi="Times New Roman"/>
          <w:sz w:val="22"/>
          <w:szCs w:val="22"/>
        </w:rPr>
        <w:t>P</w:t>
      </w:r>
      <w:r w:rsidR="00AA65A1" w:rsidRPr="00901D53">
        <w:rPr>
          <w:rFonts w:ascii="Times New Roman" w:hAnsi="Times New Roman"/>
          <w:sz w:val="22"/>
          <w:szCs w:val="22"/>
        </w:rPr>
        <w:t>ielikumu Nr.1</w:t>
      </w:r>
      <w:r w:rsidR="0032385B" w:rsidRPr="00901D53">
        <w:rPr>
          <w:rFonts w:ascii="Times New Roman" w:hAnsi="Times New Roman"/>
          <w:sz w:val="22"/>
          <w:szCs w:val="22"/>
        </w:rPr>
        <w:t>)</w:t>
      </w:r>
      <w:r w:rsidRPr="00901D53">
        <w:rPr>
          <w:rFonts w:ascii="Times New Roman" w:hAnsi="Times New Roman"/>
          <w:sz w:val="22"/>
          <w:szCs w:val="22"/>
        </w:rPr>
        <w:t>;</w:t>
      </w:r>
    </w:p>
    <w:p w14:paraId="4944E922" w14:textId="522127E7" w:rsidR="008A6116" w:rsidRPr="00901D53" w:rsidRDefault="005D5E1C" w:rsidP="008A6116">
      <w:pPr>
        <w:pStyle w:val="ListParagraph"/>
        <w:numPr>
          <w:ilvl w:val="1"/>
          <w:numId w:val="14"/>
        </w:numPr>
        <w:jc w:val="both"/>
        <w:rPr>
          <w:rFonts w:ascii="Times New Roman" w:hAnsi="Times New Roman"/>
          <w:sz w:val="22"/>
          <w:szCs w:val="22"/>
        </w:rPr>
      </w:pPr>
      <w:r w:rsidRPr="00901D53">
        <w:rPr>
          <w:rFonts w:ascii="Times New Roman" w:hAnsi="Times New Roman"/>
          <w:b/>
          <w:bCs/>
          <w:sz w:val="22"/>
          <w:szCs w:val="22"/>
        </w:rPr>
        <w:t>Ierobežotā garantijas summa</w:t>
      </w:r>
      <w:r w:rsidRPr="00901D53">
        <w:rPr>
          <w:rFonts w:ascii="Times New Roman" w:hAnsi="Times New Roman"/>
          <w:sz w:val="22"/>
          <w:szCs w:val="22"/>
        </w:rPr>
        <w:t xml:space="preserve"> </w:t>
      </w:r>
      <w:r w:rsidRPr="00901D53">
        <w:rPr>
          <w:rFonts w:ascii="Times New Roman" w:hAnsi="Times New Roman"/>
          <w:i/>
          <w:iCs/>
          <w:sz w:val="22"/>
          <w:szCs w:val="22"/>
        </w:rPr>
        <w:t>(</w:t>
      </w:r>
      <w:proofErr w:type="spellStart"/>
      <w:r w:rsidRPr="00901D53">
        <w:rPr>
          <w:rFonts w:ascii="Times New Roman" w:hAnsi="Times New Roman"/>
          <w:i/>
          <w:iCs/>
          <w:sz w:val="22"/>
          <w:szCs w:val="22"/>
        </w:rPr>
        <w:t>guarantee</w:t>
      </w:r>
      <w:proofErr w:type="spellEnd"/>
      <w:r w:rsidRPr="00901D53">
        <w:rPr>
          <w:rFonts w:ascii="Times New Roman" w:hAnsi="Times New Roman"/>
          <w:i/>
          <w:iCs/>
          <w:sz w:val="22"/>
          <w:szCs w:val="22"/>
        </w:rPr>
        <w:t xml:space="preserve"> </w:t>
      </w:r>
      <w:proofErr w:type="spellStart"/>
      <w:r w:rsidRPr="00901D53">
        <w:rPr>
          <w:rFonts w:ascii="Times New Roman" w:hAnsi="Times New Roman"/>
          <w:i/>
          <w:iCs/>
          <w:sz w:val="22"/>
          <w:szCs w:val="22"/>
        </w:rPr>
        <w:t>cap</w:t>
      </w:r>
      <w:proofErr w:type="spellEnd"/>
      <w:r w:rsidRPr="00901D53">
        <w:rPr>
          <w:rFonts w:ascii="Times New Roman" w:hAnsi="Times New Roman"/>
          <w:i/>
          <w:iCs/>
          <w:sz w:val="22"/>
          <w:szCs w:val="22"/>
        </w:rPr>
        <w:t xml:space="preserve"> </w:t>
      </w:r>
      <w:proofErr w:type="spellStart"/>
      <w:r w:rsidRPr="00901D53">
        <w:rPr>
          <w:rFonts w:ascii="Times New Roman" w:hAnsi="Times New Roman"/>
          <w:i/>
          <w:iCs/>
          <w:sz w:val="22"/>
          <w:szCs w:val="22"/>
        </w:rPr>
        <w:t>amount</w:t>
      </w:r>
      <w:proofErr w:type="spellEnd"/>
      <w:r w:rsidRPr="00901D53">
        <w:rPr>
          <w:rFonts w:ascii="Times New Roman" w:hAnsi="Times New Roman"/>
          <w:i/>
          <w:iCs/>
          <w:sz w:val="22"/>
          <w:szCs w:val="22"/>
        </w:rPr>
        <w:t>)</w:t>
      </w:r>
      <w:r w:rsidRPr="00901D53">
        <w:rPr>
          <w:rFonts w:ascii="Times New Roman" w:hAnsi="Times New Roman"/>
          <w:sz w:val="22"/>
          <w:szCs w:val="22"/>
        </w:rPr>
        <w:t xml:space="preserve"> – </w:t>
      </w:r>
      <w:r w:rsidR="005F4282" w:rsidRPr="005F4282">
        <w:rPr>
          <w:rFonts w:ascii="Times New Roman" w:hAnsi="Times New Roman"/>
          <w:sz w:val="22"/>
          <w:szCs w:val="22"/>
        </w:rPr>
        <w:t>Finans</w:t>
      </w:r>
      <w:r w:rsidR="005F4282" w:rsidRPr="005F4282">
        <w:rPr>
          <w:rFonts w:ascii="Times New Roman" w:hAnsi="Times New Roman" w:hint="eastAsia"/>
          <w:sz w:val="22"/>
          <w:szCs w:val="22"/>
        </w:rPr>
        <w:t>ē</w:t>
      </w:r>
      <w:r w:rsidR="005F4282" w:rsidRPr="005F4282">
        <w:rPr>
          <w:rFonts w:ascii="Times New Roman" w:hAnsi="Times New Roman"/>
          <w:sz w:val="22"/>
          <w:szCs w:val="22"/>
        </w:rPr>
        <w:t>t</w:t>
      </w:r>
      <w:r w:rsidR="005F4282" w:rsidRPr="005F4282">
        <w:rPr>
          <w:rFonts w:ascii="Times New Roman" w:hAnsi="Times New Roman" w:hint="eastAsia"/>
          <w:sz w:val="22"/>
          <w:szCs w:val="22"/>
        </w:rPr>
        <w:t>ā</w:t>
      </w:r>
      <w:r w:rsidR="005F4282" w:rsidRPr="005F4282">
        <w:rPr>
          <w:rFonts w:ascii="Times New Roman" w:hAnsi="Times New Roman"/>
          <w:sz w:val="22"/>
          <w:szCs w:val="22"/>
        </w:rPr>
        <w:t>ja Aizdevuma portfe</w:t>
      </w:r>
      <w:r w:rsidR="005F4282" w:rsidRPr="005F4282">
        <w:rPr>
          <w:rFonts w:ascii="Times New Roman" w:hAnsi="Times New Roman" w:hint="eastAsia"/>
          <w:sz w:val="22"/>
          <w:szCs w:val="22"/>
        </w:rPr>
        <w:t>ļ</w:t>
      </w:r>
      <w:r w:rsidR="005F4282" w:rsidRPr="005F4282">
        <w:rPr>
          <w:rFonts w:ascii="Times New Roman" w:hAnsi="Times New Roman"/>
          <w:sz w:val="22"/>
          <w:szCs w:val="22"/>
        </w:rPr>
        <w:t>a maksim</w:t>
      </w:r>
      <w:r w:rsidR="005F4282" w:rsidRPr="005F4282">
        <w:rPr>
          <w:rFonts w:ascii="Times New Roman" w:hAnsi="Times New Roman" w:hint="eastAsia"/>
          <w:sz w:val="22"/>
          <w:szCs w:val="22"/>
        </w:rPr>
        <w:t>ā</w:t>
      </w:r>
      <w:r w:rsidR="005F4282" w:rsidRPr="005F4282">
        <w:rPr>
          <w:rFonts w:ascii="Times New Roman" w:hAnsi="Times New Roman"/>
          <w:sz w:val="22"/>
          <w:szCs w:val="22"/>
        </w:rPr>
        <w:t>l</w:t>
      </w:r>
      <w:r w:rsidR="005F4282" w:rsidRPr="005F4282">
        <w:rPr>
          <w:rFonts w:ascii="Times New Roman" w:hAnsi="Times New Roman" w:hint="eastAsia"/>
          <w:sz w:val="22"/>
          <w:szCs w:val="22"/>
        </w:rPr>
        <w:t>ā</w:t>
      </w:r>
      <w:r w:rsidR="005F4282" w:rsidRPr="005F4282">
        <w:rPr>
          <w:rFonts w:ascii="Times New Roman" w:hAnsi="Times New Roman"/>
          <w:sz w:val="22"/>
          <w:szCs w:val="22"/>
        </w:rPr>
        <w:t xml:space="preserve"> zaud</w:t>
      </w:r>
      <w:r w:rsidR="005F4282" w:rsidRPr="005F4282">
        <w:rPr>
          <w:rFonts w:ascii="Times New Roman" w:hAnsi="Times New Roman" w:hint="eastAsia"/>
          <w:sz w:val="22"/>
          <w:szCs w:val="22"/>
        </w:rPr>
        <w:t>ē</w:t>
      </w:r>
      <w:r w:rsidR="005F4282" w:rsidRPr="005F4282">
        <w:rPr>
          <w:rFonts w:ascii="Times New Roman" w:hAnsi="Times New Roman"/>
          <w:sz w:val="22"/>
          <w:szCs w:val="22"/>
        </w:rPr>
        <w:t xml:space="preserve">jumu summa, kuru sedz </w:t>
      </w:r>
      <w:proofErr w:type="spellStart"/>
      <w:r w:rsidR="005F4282" w:rsidRPr="005F4282">
        <w:rPr>
          <w:rFonts w:ascii="Times New Roman" w:hAnsi="Times New Roman"/>
          <w:sz w:val="22"/>
          <w:szCs w:val="22"/>
        </w:rPr>
        <w:t>portfe</w:t>
      </w:r>
      <w:r w:rsidR="005F4282" w:rsidRPr="005F4282">
        <w:rPr>
          <w:rFonts w:ascii="Times New Roman" w:hAnsi="Times New Roman" w:hint="eastAsia"/>
          <w:sz w:val="22"/>
          <w:szCs w:val="22"/>
        </w:rPr>
        <w:t>ļ</w:t>
      </w:r>
      <w:r w:rsidR="005F4282" w:rsidRPr="005F4282">
        <w:rPr>
          <w:rFonts w:ascii="Times New Roman" w:hAnsi="Times New Roman"/>
          <w:sz w:val="22"/>
          <w:szCs w:val="22"/>
        </w:rPr>
        <w:t>garantija</w:t>
      </w:r>
      <w:proofErr w:type="spellEnd"/>
      <w:r w:rsidR="005F4282" w:rsidRPr="005F4282">
        <w:rPr>
          <w:rFonts w:ascii="Times New Roman" w:hAnsi="Times New Roman"/>
          <w:sz w:val="22"/>
          <w:szCs w:val="22"/>
        </w:rPr>
        <w:t>. Ierobežoto garantijas summu apr</w:t>
      </w:r>
      <w:r w:rsidR="005F4282" w:rsidRPr="005F4282">
        <w:rPr>
          <w:rFonts w:ascii="Times New Roman" w:hAnsi="Times New Roman" w:hint="eastAsia"/>
          <w:sz w:val="22"/>
          <w:szCs w:val="22"/>
        </w:rPr>
        <w:t>ēķ</w:t>
      </w:r>
      <w:r w:rsidR="005F4282" w:rsidRPr="005F4282">
        <w:rPr>
          <w:rFonts w:ascii="Times New Roman" w:hAnsi="Times New Roman"/>
          <w:sz w:val="22"/>
          <w:szCs w:val="22"/>
        </w:rPr>
        <w:t>ina k</w:t>
      </w:r>
      <w:r w:rsidR="005F4282" w:rsidRPr="005F4282">
        <w:rPr>
          <w:rFonts w:ascii="Times New Roman" w:hAnsi="Times New Roman" w:hint="eastAsia"/>
          <w:sz w:val="22"/>
          <w:szCs w:val="22"/>
        </w:rPr>
        <w:t>ā</w:t>
      </w:r>
      <w:r w:rsidR="005F4282" w:rsidRPr="005F4282">
        <w:rPr>
          <w:rFonts w:ascii="Times New Roman" w:hAnsi="Times New Roman"/>
          <w:sz w:val="22"/>
          <w:szCs w:val="22"/>
        </w:rPr>
        <w:t xml:space="preserve"> Finans</w:t>
      </w:r>
      <w:r w:rsidR="005F4282" w:rsidRPr="005F4282">
        <w:rPr>
          <w:rFonts w:ascii="Times New Roman" w:hAnsi="Times New Roman" w:hint="eastAsia"/>
          <w:sz w:val="22"/>
          <w:szCs w:val="22"/>
        </w:rPr>
        <w:t>ē</w:t>
      </w:r>
      <w:r w:rsidR="005F4282" w:rsidRPr="005F4282">
        <w:rPr>
          <w:rFonts w:ascii="Times New Roman" w:hAnsi="Times New Roman"/>
          <w:sz w:val="22"/>
          <w:szCs w:val="22"/>
        </w:rPr>
        <w:t>t</w:t>
      </w:r>
      <w:r w:rsidR="005F4282" w:rsidRPr="005F4282">
        <w:rPr>
          <w:rFonts w:ascii="Times New Roman" w:hAnsi="Times New Roman" w:hint="eastAsia"/>
          <w:sz w:val="22"/>
          <w:szCs w:val="22"/>
        </w:rPr>
        <w:t>ā</w:t>
      </w:r>
      <w:r w:rsidR="005F4282" w:rsidRPr="005F4282">
        <w:rPr>
          <w:rFonts w:ascii="Times New Roman" w:hAnsi="Times New Roman"/>
          <w:sz w:val="22"/>
          <w:szCs w:val="22"/>
        </w:rPr>
        <w:t>ja Aizdevumu portfe</w:t>
      </w:r>
      <w:r w:rsidR="005F4282" w:rsidRPr="005F4282">
        <w:rPr>
          <w:rFonts w:ascii="Times New Roman" w:hAnsi="Times New Roman" w:hint="eastAsia"/>
          <w:sz w:val="22"/>
          <w:szCs w:val="22"/>
        </w:rPr>
        <w:t>ļ</w:t>
      </w:r>
      <w:r w:rsidR="005F4282" w:rsidRPr="005F4282">
        <w:rPr>
          <w:rFonts w:ascii="Times New Roman" w:hAnsi="Times New Roman"/>
          <w:sz w:val="22"/>
          <w:szCs w:val="22"/>
        </w:rPr>
        <w:t>a (izsniegto, nevis pieš</w:t>
      </w:r>
      <w:r w:rsidR="005F4282" w:rsidRPr="005F4282">
        <w:rPr>
          <w:rFonts w:ascii="Times New Roman" w:hAnsi="Times New Roman" w:hint="eastAsia"/>
          <w:sz w:val="22"/>
          <w:szCs w:val="22"/>
        </w:rPr>
        <w:t>ķ</w:t>
      </w:r>
      <w:r w:rsidR="005F4282" w:rsidRPr="005F4282">
        <w:rPr>
          <w:rFonts w:ascii="Times New Roman" w:hAnsi="Times New Roman"/>
          <w:sz w:val="22"/>
          <w:szCs w:val="22"/>
        </w:rPr>
        <w:t>irto kred</w:t>
      </w:r>
      <w:r w:rsidR="005F4282" w:rsidRPr="005F4282">
        <w:rPr>
          <w:rFonts w:ascii="Times New Roman" w:hAnsi="Times New Roman" w:hint="eastAsia"/>
          <w:sz w:val="22"/>
          <w:szCs w:val="22"/>
        </w:rPr>
        <w:t>ī</w:t>
      </w:r>
      <w:r w:rsidR="005F4282" w:rsidRPr="005F4282">
        <w:rPr>
          <w:rFonts w:ascii="Times New Roman" w:hAnsi="Times New Roman"/>
          <w:sz w:val="22"/>
          <w:szCs w:val="22"/>
        </w:rPr>
        <w:t>tu summas), Garantijas likmes un Ierobežot</w:t>
      </w:r>
      <w:r w:rsidR="005F4282" w:rsidRPr="005F4282">
        <w:rPr>
          <w:rFonts w:ascii="Times New Roman" w:hAnsi="Times New Roman" w:hint="eastAsia"/>
          <w:sz w:val="22"/>
          <w:szCs w:val="22"/>
        </w:rPr>
        <w:t>ā</w:t>
      </w:r>
      <w:r w:rsidR="005F4282" w:rsidRPr="005F4282">
        <w:rPr>
          <w:rFonts w:ascii="Times New Roman" w:hAnsi="Times New Roman"/>
          <w:sz w:val="22"/>
          <w:szCs w:val="22"/>
        </w:rPr>
        <w:t>s garantijas likmes reizin</w:t>
      </w:r>
      <w:r w:rsidR="005F4282" w:rsidRPr="005F4282">
        <w:rPr>
          <w:rFonts w:ascii="Times New Roman" w:hAnsi="Times New Roman" w:hint="eastAsia"/>
          <w:sz w:val="22"/>
          <w:szCs w:val="22"/>
        </w:rPr>
        <w:t>ā</w:t>
      </w:r>
      <w:r w:rsidR="005F4282" w:rsidRPr="005F4282">
        <w:rPr>
          <w:rFonts w:ascii="Times New Roman" w:hAnsi="Times New Roman"/>
          <w:sz w:val="22"/>
          <w:szCs w:val="22"/>
        </w:rPr>
        <w:t>jumu saska</w:t>
      </w:r>
      <w:r w:rsidR="005F4282" w:rsidRPr="005F4282">
        <w:rPr>
          <w:rFonts w:ascii="Times New Roman" w:hAnsi="Times New Roman" w:hint="eastAsia"/>
          <w:sz w:val="22"/>
          <w:szCs w:val="22"/>
        </w:rPr>
        <w:t>ņā</w:t>
      </w:r>
      <w:r w:rsidR="005F4282" w:rsidRPr="005F4282">
        <w:rPr>
          <w:rFonts w:ascii="Times New Roman" w:hAnsi="Times New Roman"/>
          <w:sz w:val="22"/>
          <w:szCs w:val="22"/>
        </w:rPr>
        <w:t xml:space="preserve"> ar L</w:t>
      </w:r>
      <w:r w:rsidR="005F4282" w:rsidRPr="005F4282">
        <w:rPr>
          <w:rFonts w:ascii="Times New Roman" w:hAnsi="Times New Roman" w:hint="eastAsia"/>
          <w:sz w:val="22"/>
          <w:szCs w:val="22"/>
        </w:rPr>
        <w:t>ī</w:t>
      </w:r>
      <w:r w:rsidR="005F4282" w:rsidRPr="005F4282">
        <w:rPr>
          <w:rFonts w:ascii="Times New Roman" w:hAnsi="Times New Roman"/>
          <w:sz w:val="22"/>
          <w:szCs w:val="22"/>
        </w:rPr>
        <w:t>guma speci</w:t>
      </w:r>
      <w:r w:rsidR="005F4282" w:rsidRPr="005F4282">
        <w:rPr>
          <w:rFonts w:ascii="Times New Roman" w:hAnsi="Times New Roman" w:hint="eastAsia"/>
          <w:sz w:val="22"/>
          <w:szCs w:val="22"/>
        </w:rPr>
        <w:t>ā</w:t>
      </w:r>
      <w:r w:rsidR="005F4282" w:rsidRPr="005F4282">
        <w:rPr>
          <w:rFonts w:ascii="Times New Roman" w:hAnsi="Times New Roman"/>
          <w:sz w:val="22"/>
          <w:szCs w:val="22"/>
        </w:rPr>
        <w:t xml:space="preserve">lajiem noteikumiem (Pielikumu Nr.1). </w:t>
      </w:r>
      <w:r w:rsidR="005F4282" w:rsidRPr="005F4282">
        <w:rPr>
          <w:rFonts w:ascii="Times New Roman" w:hAnsi="Times New Roman" w:hint="eastAsia"/>
          <w:sz w:val="22"/>
          <w:szCs w:val="22"/>
        </w:rPr>
        <w:t>Ņ</w:t>
      </w:r>
      <w:r w:rsidR="005F4282" w:rsidRPr="005F4282">
        <w:rPr>
          <w:rFonts w:ascii="Times New Roman" w:hAnsi="Times New Roman"/>
          <w:sz w:val="22"/>
          <w:szCs w:val="22"/>
        </w:rPr>
        <w:t>emot v</w:t>
      </w:r>
      <w:r w:rsidR="005F4282" w:rsidRPr="005F4282">
        <w:rPr>
          <w:rFonts w:ascii="Times New Roman" w:hAnsi="Times New Roman" w:hint="eastAsia"/>
          <w:sz w:val="22"/>
          <w:szCs w:val="22"/>
        </w:rPr>
        <w:t>ē</w:t>
      </w:r>
      <w:r w:rsidR="005F4282" w:rsidRPr="005F4282">
        <w:rPr>
          <w:rFonts w:ascii="Times New Roman" w:hAnsi="Times New Roman"/>
          <w:sz w:val="22"/>
          <w:szCs w:val="22"/>
        </w:rPr>
        <w:t>r</w:t>
      </w:r>
      <w:r w:rsidR="005F4282" w:rsidRPr="005F4282">
        <w:rPr>
          <w:rFonts w:ascii="Times New Roman" w:hAnsi="Times New Roman" w:hint="eastAsia"/>
          <w:sz w:val="22"/>
          <w:szCs w:val="22"/>
        </w:rPr>
        <w:t>ā</w:t>
      </w:r>
      <w:r w:rsidR="005F4282" w:rsidRPr="005F4282">
        <w:rPr>
          <w:rFonts w:ascii="Times New Roman" w:hAnsi="Times New Roman"/>
          <w:sz w:val="22"/>
          <w:szCs w:val="22"/>
        </w:rPr>
        <w:t xml:space="preserve"> </w:t>
      </w:r>
      <w:r w:rsidR="00452799">
        <w:rPr>
          <w:rFonts w:ascii="Times New Roman" w:hAnsi="Times New Roman"/>
          <w:sz w:val="22"/>
          <w:szCs w:val="22"/>
        </w:rPr>
        <w:t>ALTUM</w:t>
      </w:r>
      <w:r w:rsidR="005F4282" w:rsidRPr="005F4282">
        <w:rPr>
          <w:rFonts w:ascii="Times New Roman" w:hAnsi="Times New Roman"/>
          <w:sz w:val="22"/>
          <w:szCs w:val="22"/>
        </w:rPr>
        <w:t xml:space="preserve"> pieejamo programmas </w:t>
      </w:r>
      <w:r w:rsidR="005F4282" w:rsidRPr="005F4282">
        <w:rPr>
          <w:rFonts w:ascii="Times New Roman" w:hAnsi="Times New Roman" w:hint="eastAsia"/>
          <w:sz w:val="22"/>
          <w:szCs w:val="22"/>
        </w:rPr>
        <w:t>ī</w:t>
      </w:r>
      <w:r w:rsidR="005F4282" w:rsidRPr="005F4282">
        <w:rPr>
          <w:rFonts w:ascii="Times New Roman" w:hAnsi="Times New Roman"/>
          <w:sz w:val="22"/>
          <w:szCs w:val="22"/>
        </w:rPr>
        <w:t>stenošanai paredz</w:t>
      </w:r>
      <w:r w:rsidR="005F4282" w:rsidRPr="005F4282">
        <w:rPr>
          <w:rFonts w:ascii="Times New Roman" w:hAnsi="Times New Roman" w:hint="eastAsia"/>
          <w:sz w:val="22"/>
          <w:szCs w:val="22"/>
        </w:rPr>
        <w:t>ē</w:t>
      </w:r>
      <w:r w:rsidR="005F4282" w:rsidRPr="005F4282">
        <w:rPr>
          <w:rFonts w:ascii="Times New Roman" w:hAnsi="Times New Roman"/>
          <w:sz w:val="22"/>
          <w:szCs w:val="22"/>
        </w:rPr>
        <w:t xml:space="preserve">to valsts budžeta </w:t>
      </w:r>
      <w:r w:rsidR="003D1C3E">
        <w:rPr>
          <w:rFonts w:ascii="Times New Roman" w:hAnsi="Times New Roman"/>
          <w:sz w:val="22"/>
          <w:szCs w:val="22"/>
        </w:rPr>
        <w:t xml:space="preserve">un starptautisko finanšu institūciju </w:t>
      </w:r>
      <w:r w:rsidR="00D7781F">
        <w:rPr>
          <w:rFonts w:ascii="Times New Roman" w:hAnsi="Times New Roman"/>
          <w:sz w:val="22"/>
          <w:szCs w:val="22"/>
        </w:rPr>
        <w:t xml:space="preserve">līdzekļu </w:t>
      </w:r>
      <w:r w:rsidR="005F4282" w:rsidRPr="005F4282">
        <w:rPr>
          <w:rFonts w:ascii="Times New Roman" w:hAnsi="Times New Roman"/>
          <w:sz w:val="22"/>
          <w:szCs w:val="22"/>
        </w:rPr>
        <w:t>finans</w:t>
      </w:r>
      <w:r w:rsidR="005F4282" w:rsidRPr="005F4282">
        <w:rPr>
          <w:rFonts w:ascii="Times New Roman" w:hAnsi="Times New Roman" w:hint="eastAsia"/>
          <w:sz w:val="22"/>
          <w:szCs w:val="22"/>
        </w:rPr>
        <w:t>ē</w:t>
      </w:r>
      <w:r w:rsidR="005F4282" w:rsidRPr="005F4282">
        <w:rPr>
          <w:rFonts w:ascii="Times New Roman" w:hAnsi="Times New Roman"/>
          <w:sz w:val="22"/>
          <w:szCs w:val="22"/>
        </w:rPr>
        <w:t>jumu, ierobežot</w:t>
      </w:r>
      <w:r w:rsidR="005F4282" w:rsidRPr="005F4282">
        <w:rPr>
          <w:rFonts w:ascii="Times New Roman" w:hAnsi="Times New Roman" w:hint="eastAsia"/>
          <w:sz w:val="22"/>
          <w:szCs w:val="22"/>
        </w:rPr>
        <w:t>ā</w:t>
      </w:r>
      <w:r w:rsidR="005F4282" w:rsidRPr="005F4282">
        <w:rPr>
          <w:rFonts w:ascii="Times New Roman" w:hAnsi="Times New Roman"/>
          <w:sz w:val="22"/>
          <w:szCs w:val="22"/>
        </w:rPr>
        <w:t xml:space="preserve"> garantijas summa par attiec</w:t>
      </w:r>
      <w:r w:rsidR="005F4282" w:rsidRPr="005F4282">
        <w:rPr>
          <w:rFonts w:ascii="Times New Roman" w:hAnsi="Times New Roman" w:hint="eastAsia"/>
          <w:sz w:val="22"/>
          <w:szCs w:val="22"/>
        </w:rPr>
        <w:t>ī</w:t>
      </w:r>
      <w:r w:rsidR="005F4282" w:rsidRPr="005F4282">
        <w:rPr>
          <w:rFonts w:ascii="Times New Roman" w:hAnsi="Times New Roman"/>
          <w:sz w:val="22"/>
          <w:szCs w:val="22"/>
        </w:rPr>
        <w:t>gaj</w:t>
      </w:r>
      <w:r w:rsidR="005F4282" w:rsidRPr="005F4282">
        <w:rPr>
          <w:rFonts w:ascii="Times New Roman" w:hAnsi="Times New Roman" w:hint="eastAsia"/>
          <w:sz w:val="22"/>
          <w:szCs w:val="22"/>
        </w:rPr>
        <w:t>ā</w:t>
      </w:r>
      <w:r w:rsidR="005F4282" w:rsidRPr="005F4282">
        <w:rPr>
          <w:rFonts w:ascii="Times New Roman" w:hAnsi="Times New Roman"/>
          <w:sz w:val="22"/>
          <w:szCs w:val="22"/>
        </w:rPr>
        <w:t xml:space="preserve"> gad</w:t>
      </w:r>
      <w:r w:rsidR="005F4282" w:rsidRPr="005F4282">
        <w:rPr>
          <w:rFonts w:ascii="Times New Roman" w:hAnsi="Times New Roman" w:hint="eastAsia"/>
          <w:sz w:val="22"/>
          <w:szCs w:val="22"/>
        </w:rPr>
        <w:t>ā</w:t>
      </w:r>
      <w:r w:rsidR="005F4282" w:rsidRPr="005F4282">
        <w:rPr>
          <w:rFonts w:ascii="Times New Roman" w:hAnsi="Times New Roman"/>
          <w:sz w:val="22"/>
          <w:szCs w:val="22"/>
        </w:rPr>
        <w:t xml:space="preserve"> izsniegtajiem (nevis pieš</w:t>
      </w:r>
      <w:r w:rsidR="005F4282" w:rsidRPr="005F4282">
        <w:rPr>
          <w:rFonts w:ascii="Times New Roman" w:hAnsi="Times New Roman" w:hint="eastAsia"/>
          <w:sz w:val="22"/>
          <w:szCs w:val="22"/>
        </w:rPr>
        <w:t>ķ</w:t>
      </w:r>
      <w:r w:rsidR="005F4282" w:rsidRPr="005F4282">
        <w:rPr>
          <w:rFonts w:ascii="Times New Roman" w:hAnsi="Times New Roman"/>
          <w:sz w:val="22"/>
          <w:szCs w:val="22"/>
        </w:rPr>
        <w:t>irtajiem) aizdevumiem nevar p</w:t>
      </w:r>
      <w:r w:rsidR="005F4282" w:rsidRPr="005F4282">
        <w:rPr>
          <w:rFonts w:ascii="Times New Roman" w:hAnsi="Times New Roman" w:hint="eastAsia"/>
          <w:sz w:val="22"/>
          <w:szCs w:val="22"/>
        </w:rPr>
        <w:t>ā</w:t>
      </w:r>
      <w:r w:rsidR="005F4282" w:rsidRPr="005F4282">
        <w:rPr>
          <w:rFonts w:ascii="Times New Roman" w:hAnsi="Times New Roman"/>
          <w:sz w:val="22"/>
          <w:szCs w:val="22"/>
        </w:rPr>
        <w:t>rsniegt L</w:t>
      </w:r>
      <w:r w:rsidR="005F4282" w:rsidRPr="005F4282">
        <w:rPr>
          <w:rFonts w:ascii="Times New Roman" w:hAnsi="Times New Roman" w:hint="eastAsia"/>
          <w:sz w:val="22"/>
          <w:szCs w:val="22"/>
        </w:rPr>
        <w:t>ī</w:t>
      </w:r>
      <w:r w:rsidR="005F4282" w:rsidRPr="005F4282">
        <w:rPr>
          <w:rFonts w:ascii="Times New Roman" w:hAnsi="Times New Roman"/>
          <w:sz w:val="22"/>
          <w:szCs w:val="22"/>
        </w:rPr>
        <w:t>guma 1.pielikum</w:t>
      </w:r>
      <w:r w:rsidR="005F4282" w:rsidRPr="005F4282">
        <w:rPr>
          <w:rFonts w:ascii="Times New Roman" w:hAnsi="Times New Roman" w:hint="eastAsia"/>
          <w:sz w:val="22"/>
          <w:szCs w:val="22"/>
        </w:rPr>
        <w:t>ā</w:t>
      </w:r>
      <w:r w:rsidR="005F4282" w:rsidRPr="005F4282">
        <w:rPr>
          <w:rFonts w:ascii="Times New Roman" w:hAnsi="Times New Roman"/>
          <w:sz w:val="22"/>
          <w:szCs w:val="22"/>
        </w:rPr>
        <w:t xml:space="preserve"> noteikt</w:t>
      </w:r>
      <w:r w:rsidR="005F4282" w:rsidRPr="005F4282">
        <w:rPr>
          <w:rFonts w:ascii="Times New Roman" w:hAnsi="Times New Roman" w:hint="eastAsia"/>
          <w:sz w:val="22"/>
          <w:szCs w:val="22"/>
        </w:rPr>
        <w:t>ā</w:t>
      </w:r>
      <w:r w:rsidR="005F4282" w:rsidRPr="005F4282">
        <w:rPr>
          <w:rFonts w:ascii="Times New Roman" w:hAnsi="Times New Roman"/>
          <w:sz w:val="22"/>
          <w:szCs w:val="22"/>
        </w:rPr>
        <w:t>s Maksim</w:t>
      </w:r>
      <w:r w:rsidR="005F4282" w:rsidRPr="005F4282">
        <w:rPr>
          <w:rFonts w:ascii="Times New Roman" w:hAnsi="Times New Roman" w:hint="eastAsia"/>
          <w:sz w:val="22"/>
          <w:szCs w:val="22"/>
        </w:rPr>
        <w:t>ā</w:t>
      </w:r>
      <w:r w:rsidR="005F4282" w:rsidRPr="005F4282">
        <w:rPr>
          <w:rFonts w:ascii="Times New Roman" w:hAnsi="Times New Roman"/>
          <w:sz w:val="22"/>
          <w:szCs w:val="22"/>
        </w:rPr>
        <w:t>l</w:t>
      </w:r>
      <w:r w:rsidR="005F4282" w:rsidRPr="005F4282">
        <w:rPr>
          <w:rFonts w:ascii="Times New Roman" w:hAnsi="Times New Roman" w:hint="eastAsia"/>
          <w:sz w:val="22"/>
          <w:szCs w:val="22"/>
        </w:rPr>
        <w:t>ā</w:t>
      </w:r>
      <w:r w:rsidR="005F4282" w:rsidRPr="005F4282">
        <w:rPr>
          <w:rFonts w:ascii="Times New Roman" w:hAnsi="Times New Roman"/>
          <w:sz w:val="22"/>
          <w:szCs w:val="22"/>
        </w:rPr>
        <w:t>s izsniedzam</w:t>
      </w:r>
      <w:r w:rsidR="005F4282" w:rsidRPr="005F4282">
        <w:rPr>
          <w:rFonts w:ascii="Times New Roman" w:hAnsi="Times New Roman" w:hint="eastAsia"/>
          <w:sz w:val="22"/>
          <w:szCs w:val="22"/>
        </w:rPr>
        <w:t>ā</w:t>
      </w:r>
      <w:r w:rsidR="005F4282" w:rsidRPr="005F4282">
        <w:rPr>
          <w:rFonts w:ascii="Times New Roman" w:hAnsi="Times New Roman"/>
          <w:sz w:val="22"/>
          <w:szCs w:val="22"/>
        </w:rPr>
        <w:t>s Finanšu pakalpojumu summas reizin</w:t>
      </w:r>
      <w:r w:rsidR="005F4282" w:rsidRPr="005F4282">
        <w:rPr>
          <w:rFonts w:ascii="Times New Roman" w:hAnsi="Times New Roman" w:hint="eastAsia"/>
          <w:sz w:val="22"/>
          <w:szCs w:val="22"/>
        </w:rPr>
        <w:t>ā</w:t>
      </w:r>
      <w:r w:rsidR="005F4282" w:rsidRPr="005F4282">
        <w:rPr>
          <w:rFonts w:ascii="Times New Roman" w:hAnsi="Times New Roman"/>
          <w:sz w:val="22"/>
          <w:szCs w:val="22"/>
        </w:rPr>
        <w:t>jumu ar Garantijas likmi un Ierobežot</w:t>
      </w:r>
      <w:r w:rsidR="005F4282" w:rsidRPr="005F4282">
        <w:rPr>
          <w:rFonts w:ascii="Times New Roman" w:hAnsi="Times New Roman" w:hint="eastAsia"/>
          <w:sz w:val="22"/>
          <w:szCs w:val="22"/>
        </w:rPr>
        <w:t>ā</w:t>
      </w:r>
      <w:r w:rsidR="005F4282" w:rsidRPr="005F4282">
        <w:rPr>
          <w:rFonts w:ascii="Times New Roman" w:hAnsi="Times New Roman"/>
          <w:sz w:val="22"/>
          <w:szCs w:val="22"/>
        </w:rPr>
        <w:t>s garantijas likmi;</w:t>
      </w:r>
    </w:p>
    <w:p w14:paraId="7C934B0A" w14:textId="73ADC633" w:rsidR="008A6116" w:rsidRPr="00901D53" w:rsidRDefault="005D5E1C" w:rsidP="008A6116">
      <w:pPr>
        <w:pStyle w:val="ListParagraph"/>
        <w:numPr>
          <w:ilvl w:val="1"/>
          <w:numId w:val="14"/>
        </w:numPr>
        <w:jc w:val="both"/>
        <w:rPr>
          <w:rFonts w:ascii="Times New Roman" w:hAnsi="Times New Roman"/>
          <w:sz w:val="22"/>
          <w:szCs w:val="22"/>
        </w:rPr>
      </w:pPr>
      <w:r w:rsidRPr="00901D53">
        <w:rPr>
          <w:rFonts w:ascii="Times New Roman" w:hAnsi="Times New Roman"/>
          <w:b/>
          <w:bCs/>
          <w:sz w:val="22"/>
          <w:szCs w:val="22"/>
        </w:rPr>
        <w:t>Kompensācija</w:t>
      </w:r>
      <w:r w:rsidRPr="00901D53">
        <w:rPr>
          <w:rFonts w:ascii="Times New Roman" w:hAnsi="Times New Roman"/>
          <w:sz w:val="22"/>
          <w:szCs w:val="22"/>
        </w:rPr>
        <w:t xml:space="preserve"> – maksājums, ko ALTUM izmaksā Finansētājam, iestājoties Garantijas gadījumam</w:t>
      </w:r>
      <w:r w:rsidR="008A6116" w:rsidRPr="00901D53">
        <w:rPr>
          <w:rFonts w:ascii="Times New Roman" w:hAnsi="Times New Roman"/>
          <w:sz w:val="22"/>
          <w:szCs w:val="22"/>
        </w:rPr>
        <w:t>;</w:t>
      </w:r>
    </w:p>
    <w:p w14:paraId="0BE08193" w14:textId="48311E48" w:rsidR="008A6116" w:rsidRPr="00901D53" w:rsidRDefault="005D5E1C" w:rsidP="008A6116">
      <w:pPr>
        <w:pStyle w:val="ListParagraph"/>
        <w:numPr>
          <w:ilvl w:val="1"/>
          <w:numId w:val="14"/>
        </w:numPr>
        <w:jc w:val="both"/>
        <w:rPr>
          <w:rFonts w:ascii="Times New Roman" w:hAnsi="Times New Roman"/>
          <w:sz w:val="22"/>
          <w:szCs w:val="22"/>
        </w:rPr>
      </w:pPr>
      <w:r w:rsidRPr="00901D53">
        <w:rPr>
          <w:rFonts w:ascii="Times New Roman" w:hAnsi="Times New Roman"/>
          <w:b/>
          <w:bCs/>
          <w:sz w:val="22"/>
          <w:szCs w:val="22"/>
        </w:rPr>
        <w:t>Kompensācijas izmaksas pieteikums</w:t>
      </w:r>
      <w:r w:rsidRPr="00901D53">
        <w:rPr>
          <w:rFonts w:ascii="Times New Roman" w:hAnsi="Times New Roman"/>
          <w:sz w:val="22"/>
          <w:szCs w:val="22"/>
        </w:rPr>
        <w:t xml:space="preserve"> – dokuments, kuru Finansētājs aizpilda atbilstoši ALTUM sagatavotajai veidlapai (Pielikums Nr.3)</w:t>
      </w:r>
      <w:r w:rsidR="008A6116" w:rsidRPr="00901D53">
        <w:rPr>
          <w:rFonts w:ascii="Times New Roman" w:hAnsi="Times New Roman"/>
          <w:sz w:val="22"/>
          <w:szCs w:val="22"/>
        </w:rPr>
        <w:t>;</w:t>
      </w:r>
    </w:p>
    <w:p w14:paraId="0F6AF380" w14:textId="346EE424" w:rsidR="008A6116" w:rsidRPr="00901D53" w:rsidRDefault="005D5E1C" w:rsidP="000E7342">
      <w:pPr>
        <w:pStyle w:val="ListParagraph"/>
        <w:numPr>
          <w:ilvl w:val="1"/>
          <w:numId w:val="14"/>
        </w:numPr>
        <w:jc w:val="both"/>
        <w:rPr>
          <w:rFonts w:ascii="Times New Roman" w:hAnsi="Times New Roman"/>
          <w:sz w:val="22"/>
          <w:szCs w:val="22"/>
        </w:rPr>
      </w:pPr>
      <w:bookmarkStart w:id="2" w:name="_Ref44307653"/>
      <w:r w:rsidRPr="00901D53">
        <w:rPr>
          <w:rFonts w:ascii="Times New Roman" w:hAnsi="Times New Roman"/>
          <w:b/>
          <w:bCs/>
          <w:sz w:val="22"/>
          <w:szCs w:val="22"/>
        </w:rPr>
        <w:t>Kredīta ņēmējs</w:t>
      </w:r>
      <w:r w:rsidRPr="00901D53">
        <w:rPr>
          <w:rFonts w:ascii="Times New Roman" w:hAnsi="Times New Roman"/>
          <w:sz w:val="22"/>
          <w:szCs w:val="22"/>
        </w:rPr>
        <w:t xml:space="preserve"> - studējošais, kurš </w:t>
      </w:r>
      <w:r w:rsidR="005724E8" w:rsidRPr="00901D53">
        <w:rPr>
          <w:rFonts w:ascii="Times New Roman" w:hAnsi="Times New Roman"/>
          <w:sz w:val="22"/>
          <w:szCs w:val="22"/>
        </w:rPr>
        <w:t xml:space="preserve">atbilst MK noteikumu </w:t>
      </w:r>
      <w:r w:rsidR="00314B41" w:rsidRPr="00901D53">
        <w:rPr>
          <w:rFonts w:ascii="Times New Roman" w:hAnsi="Times New Roman"/>
          <w:sz w:val="22"/>
          <w:szCs w:val="22"/>
        </w:rPr>
        <w:t xml:space="preserve">6.punkta </w:t>
      </w:r>
      <w:r w:rsidR="0032385B" w:rsidRPr="00901D53">
        <w:rPr>
          <w:rFonts w:ascii="Times New Roman" w:hAnsi="Times New Roman"/>
          <w:sz w:val="22"/>
          <w:szCs w:val="22"/>
        </w:rPr>
        <w:t>prasībām</w:t>
      </w:r>
      <w:r w:rsidR="008A6116" w:rsidRPr="00901D53">
        <w:rPr>
          <w:rFonts w:ascii="Times New Roman" w:hAnsi="Times New Roman"/>
          <w:sz w:val="22"/>
          <w:szCs w:val="22"/>
        </w:rPr>
        <w:t>;</w:t>
      </w:r>
      <w:bookmarkEnd w:id="2"/>
    </w:p>
    <w:p w14:paraId="5AD0F903" w14:textId="11A11D9A" w:rsidR="008A6116" w:rsidRPr="00901D53" w:rsidRDefault="005D5E1C" w:rsidP="008A6116">
      <w:pPr>
        <w:pStyle w:val="ListParagraph"/>
        <w:numPr>
          <w:ilvl w:val="1"/>
          <w:numId w:val="14"/>
        </w:numPr>
        <w:jc w:val="both"/>
        <w:rPr>
          <w:rFonts w:ascii="Times New Roman" w:hAnsi="Times New Roman"/>
          <w:sz w:val="22"/>
          <w:szCs w:val="22"/>
        </w:rPr>
      </w:pPr>
      <w:r w:rsidRPr="00901D53">
        <w:rPr>
          <w:rFonts w:ascii="Times New Roman" w:hAnsi="Times New Roman"/>
          <w:b/>
          <w:bCs/>
          <w:sz w:val="22"/>
          <w:szCs w:val="22"/>
        </w:rPr>
        <w:t>Līgums</w:t>
      </w:r>
      <w:r w:rsidRPr="00901D53">
        <w:rPr>
          <w:rFonts w:ascii="Times New Roman" w:hAnsi="Times New Roman"/>
          <w:sz w:val="22"/>
          <w:szCs w:val="22"/>
        </w:rPr>
        <w:t xml:space="preserve"> – šis sadarbības līgums </w:t>
      </w:r>
      <w:r w:rsidR="002712AF">
        <w:rPr>
          <w:rFonts w:ascii="Times New Roman" w:hAnsi="Times New Roman"/>
          <w:sz w:val="22"/>
          <w:szCs w:val="22"/>
        </w:rPr>
        <w:t xml:space="preserve">par </w:t>
      </w:r>
      <w:r w:rsidRPr="00901D53">
        <w:rPr>
          <w:rFonts w:ascii="Times New Roman" w:hAnsi="Times New Roman"/>
          <w:sz w:val="22"/>
          <w:szCs w:val="22"/>
        </w:rPr>
        <w:t xml:space="preserve">studiju un studējošo kreditēšanas </w:t>
      </w:r>
      <w:proofErr w:type="spellStart"/>
      <w:r w:rsidRPr="00901D53">
        <w:rPr>
          <w:rFonts w:ascii="Times New Roman" w:hAnsi="Times New Roman"/>
          <w:sz w:val="22"/>
          <w:szCs w:val="22"/>
        </w:rPr>
        <w:t>portfeļgarantiju</w:t>
      </w:r>
      <w:proofErr w:type="spellEnd"/>
      <w:r w:rsidRPr="00901D53">
        <w:rPr>
          <w:rFonts w:ascii="Times New Roman" w:hAnsi="Times New Roman"/>
          <w:sz w:val="22"/>
          <w:szCs w:val="22"/>
        </w:rPr>
        <w:t xml:space="preserve"> kopā ar visiem pielikumiem, grozījumiem vai papildinājumiem</w:t>
      </w:r>
      <w:r w:rsidR="008A6116" w:rsidRPr="00901D53">
        <w:rPr>
          <w:rFonts w:ascii="Times New Roman" w:hAnsi="Times New Roman"/>
          <w:sz w:val="22"/>
          <w:szCs w:val="22"/>
        </w:rPr>
        <w:t>;</w:t>
      </w:r>
      <w:r w:rsidRPr="00901D53">
        <w:rPr>
          <w:rFonts w:ascii="Times New Roman" w:hAnsi="Times New Roman"/>
          <w:sz w:val="22"/>
          <w:szCs w:val="22"/>
        </w:rPr>
        <w:t xml:space="preserve"> </w:t>
      </w:r>
    </w:p>
    <w:p w14:paraId="7551BE5D" w14:textId="7F756C94" w:rsidR="008A6116" w:rsidRPr="00901D53" w:rsidRDefault="005D5E1C" w:rsidP="008A6116">
      <w:pPr>
        <w:pStyle w:val="ListParagraph"/>
        <w:numPr>
          <w:ilvl w:val="1"/>
          <w:numId w:val="14"/>
        </w:numPr>
        <w:jc w:val="both"/>
        <w:rPr>
          <w:rFonts w:ascii="Times New Roman" w:hAnsi="Times New Roman"/>
          <w:sz w:val="22"/>
          <w:szCs w:val="22"/>
        </w:rPr>
      </w:pPr>
      <w:r w:rsidRPr="00901D53">
        <w:rPr>
          <w:rFonts w:ascii="Times New Roman" w:hAnsi="Times New Roman"/>
          <w:b/>
          <w:bCs/>
          <w:sz w:val="22"/>
          <w:szCs w:val="22"/>
        </w:rPr>
        <w:t>Maksimālais Aizdevumu portfelis</w:t>
      </w:r>
      <w:r w:rsidRPr="00901D53">
        <w:rPr>
          <w:rFonts w:ascii="Times New Roman" w:hAnsi="Times New Roman"/>
          <w:sz w:val="22"/>
          <w:szCs w:val="22"/>
        </w:rPr>
        <w:t xml:space="preserve">  – Piedāvājumā un Līguma speciālajos noteikumos (Pielikums Nr.1) norādītais Finansētāja plānotais Aizdevumu portfelis, kuru Finansētājs apņemas sasniegt atbilstoši Līguma nosacījumiem. Līguma izpildes gaitā abas Puses var vienoties par šī portfeļa samazināšanu vai palielināšanu Līgumā noteiktajā kārtībā</w:t>
      </w:r>
      <w:r w:rsidR="008A6116" w:rsidRPr="00901D53">
        <w:rPr>
          <w:rFonts w:ascii="Times New Roman" w:hAnsi="Times New Roman"/>
          <w:sz w:val="22"/>
          <w:szCs w:val="22"/>
        </w:rPr>
        <w:t>;</w:t>
      </w:r>
    </w:p>
    <w:p w14:paraId="64C07D14" w14:textId="2DAC90BB" w:rsidR="008A6116" w:rsidRPr="00901D53" w:rsidRDefault="005D5E1C" w:rsidP="008A6116">
      <w:pPr>
        <w:pStyle w:val="ListParagraph"/>
        <w:numPr>
          <w:ilvl w:val="1"/>
          <w:numId w:val="14"/>
        </w:numPr>
        <w:jc w:val="both"/>
        <w:rPr>
          <w:rFonts w:ascii="Times New Roman" w:hAnsi="Times New Roman"/>
          <w:sz w:val="22"/>
          <w:szCs w:val="22"/>
        </w:rPr>
      </w:pPr>
      <w:r w:rsidRPr="00901D53">
        <w:rPr>
          <w:rFonts w:ascii="Times New Roman" w:hAnsi="Times New Roman"/>
          <w:b/>
          <w:bCs/>
          <w:sz w:val="22"/>
          <w:szCs w:val="22"/>
        </w:rPr>
        <w:lastRenderedPageBreak/>
        <w:t>MK noteikumi</w:t>
      </w:r>
      <w:r w:rsidRPr="00901D53">
        <w:rPr>
          <w:rFonts w:ascii="Times New Roman" w:hAnsi="Times New Roman"/>
          <w:sz w:val="22"/>
          <w:szCs w:val="22"/>
        </w:rPr>
        <w:t xml:space="preserve"> </w:t>
      </w:r>
      <w:r w:rsidR="003F413A">
        <w:rPr>
          <w:rFonts w:ascii="Times New Roman" w:hAnsi="Times New Roman"/>
          <w:sz w:val="22"/>
          <w:szCs w:val="22"/>
        </w:rPr>
        <w:t>-</w:t>
      </w:r>
      <w:r w:rsidRPr="00901D53">
        <w:rPr>
          <w:rFonts w:ascii="Times New Roman" w:hAnsi="Times New Roman"/>
          <w:sz w:val="22"/>
          <w:szCs w:val="22"/>
        </w:rPr>
        <w:t xml:space="preserve"> 2020.gada </w:t>
      </w:r>
      <w:r w:rsidR="0032385B" w:rsidRPr="00901D53">
        <w:rPr>
          <w:rFonts w:ascii="Times New Roman" w:hAnsi="Times New Roman"/>
          <w:sz w:val="22"/>
          <w:szCs w:val="22"/>
        </w:rPr>
        <w:t xml:space="preserve">21.aprīļa </w:t>
      </w:r>
      <w:r w:rsidRPr="00901D53">
        <w:rPr>
          <w:rFonts w:ascii="Times New Roman" w:hAnsi="Times New Roman"/>
          <w:sz w:val="22"/>
          <w:szCs w:val="22"/>
        </w:rPr>
        <w:t>Ministru kabineta noteikumi Nr</w:t>
      </w:r>
      <w:r w:rsidR="0032385B" w:rsidRPr="00901D53">
        <w:rPr>
          <w:rFonts w:ascii="Times New Roman" w:hAnsi="Times New Roman"/>
          <w:sz w:val="22"/>
          <w:szCs w:val="22"/>
        </w:rPr>
        <w:t xml:space="preserve">.231 </w:t>
      </w:r>
      <w:r w:rsidRPr="00901D53">
        <w:rPr>
          <w:rFonts w:ascii="Times New Roman" w:hAnsi="Times New Roman"/>
          <w:sz w:val="22"/>
          <w:szCs w:val="22"/>
        </w:rPr>
        <w:t>“</w:t>
      </w:r>
      <w:r w:rsidR="0032385B" w:rsidRPr="00901D53">
        <w:rPr>
          <w:rFonts w:ascii="Times New Roman" w:hAnsi="Times New Roman"/>
          <w:sz w:val="22"/>
          <w:szCs w:val="22"/>
        </w:rPr>
        <w:t xml:space="preserve">Noteikumi par studiju un studējošo kreditēšanu studijām Latvijā no kredītiestāžu līdzekļiem, kas garantēti no valsts budžeta </w:t>
      </w:r>
      <w:r w:rsidR="00A96D47" w:rsidRPr="00A96D47">
        <w:rPr>
          <w:rFonts w:ascii="Times New Roman" w:hAnsi="Times New Roman"/>
          <w:sz w:val="22"/>
          <w:szCs w:val="22"/>
        </w:rPr>
        <w:t>un starptautisko finanšu instit</w:t>
      </w:r>
      <w:r w:rsidR="00A96D47" w:rsidRPr="00A96D47">
        <w:rPr>
          <w:rFonts w:ascii="Times New Roman" w:hAnsi="Times New Roman" w:hint="eastAsia"/>
          <w:sz w:val="22"/>
          <w:szCs w:val="22"/>
        </w:rPr>
        <w:t>ū</w:t>
      </w:r>
      <w:r w:rsidR="00A96D47" w:rsidRPr="00A96D47">
        <w:rPr>
          <w:rFonts w:ascii="Times New Roman" w:hAnsi="Times New Roman"/>
          <w:sz w:val="22"/>
          <w:szCs w:val="22"/>
        </w:rPr>
        <w:t>ciju l</w:t>
      </w:r>
      <w:r w:rsidR="00A96D47" w:rsidRPr="00A96D47">
        <w:rPr>
          <w:rFonts w:ascii="Times New Roman" w:hAnsi="Times New Roman" w:hint="eastAsia"/>
          <w:sz w:val="22"/>
          <w:szCs w:val="22"/>
        </w:rPr>
        <w:t>ī</w:t>
      </w:r>
      <w:r w:rsidR="00A96D47" w:rsidRPr="00A96D47">
        <w:rPr>
          <w:rFonts w:ascii="Times New Roman" w:hAnsi="Times New Roman"/>
          <w:sz w:val="22"/>
          <w:szCs w:val="22"/>
        </w:rPr>
        <w:t>dzek</w:t>
      </w:r>
      <w:r w:rsidR="00A96D47" w:rsidRPr="00A96D47">
        <w:rPr>
          <w:rFonts w:ascii="Times New Roman" w:hAnsi="Times New Roman" w:hint="eastAsia"/>
          <w:sz w:val="22"/>
          <w:szCs w:val="22"/>
        </w:rPr>
        <w:t>ļ</w:t>
      </w:r>
      <w:r w:rsidR="00A96D47" w:rsidRPr="00A96D47">
        <w:rPr>
          <w:rFonts w:ascii="Times New Roman" w:hAnsi="Times New Roman"/>
          <w:sz w:val="22"/>
          <w:szCs w:val="22"/>
        </w:rPr>
        <w:t>iem</w:t>
      </w:r>
      <w:r w:rsidRPr="00901D53">
        <w:rPr>
          <w:rFonts w:ascii="Times New Roman" w:hAnsi="Times New Roman"/>
          <w:sz w:val="22"/>
          <w:szCs w:val="22"/>
        </w:rPr>
        <w:t>” un tā grozījumi;</w:t>
      </w:r>
    </w:p>
    <w:p w14:paraId="4AACCDA5" w14:textId="001BD8CE" w:rsidR="008A6116" w:rsidRPr="00901D53" w:rsidRDefault="005D5E1C" w:rsidP="008A6116">
      <w:pPr>
        <w:pStyle w:val="ListParagraph"/>
        <w:numPr>
          <w:ilvl w:val="1"/>
          <w:numId w:val="14"/>
        </w:numPr>
        <w:jc w:val="both"/>
        <w:rPr>
          <w:rFonts w:ascii="Times New Roman" w:hAnsi="Times New Roman"/>
          <w:sz w:val="22"/>
          <w:szCs w:val="22"/>
        </w:rPr>
      </w:pPr>
      <w:r w:rsidRPr="00901D53">
        <w:rPr>
          <w:rFonts w:ascii="Times New Roman" w:hAnsi="Times New Roman"/>
          <w:b/>
          <w:bCs/>
          <w:sz w:val="22"/>
          <w:szCs w:val="22"/>
        </w:rPr>
        <w:t>Piedāvājums</w:t>
      </w:r>
      <w:r w:rsidRPr="00901D53">
        <w:rPr>
          <w:rFonts w:ascii="Times New Roman" w:hAnsi="Times New Roman"/>
          <w:sz w:val="22"/>
          <w:szCs w:val="22"/>
        </w:rPr>
        <w:t xml:space="preserve">  – Finansētāja iesniegts piedāvājums ALTUM organizētajā atlasē kopā ar visiem tā pielikumiem</w:t>
      </w:r>
      <w:r w:rsidR="00BE1B2D">
        <w:rPr>
          <w:rFonts w:ascii="Times New Roman" w:hAnsi="Times New Roman"/>
          <w:sz w:val="22"/>
          <w:szCs w:val="22"/>
        </w:rPr>
        <w:t xml:space="preserve"> (Pielikums nr.2)</w:t>
      </w:r>
      <w:r w:rsidR="008A6116" w:rsidRPr="00901D53">
        <w:rPr>
          <w:rFonts w:ascii="Times New Roman" w:hAnsi="Times New Roman"/>
          <w:sz w:val="22"/>
          <w:szCs w:val="22"/>
        </w:rPr>
        <w:t>;</w:t>
      </w:r>
    </w:p>
    <w:p w14:paraId="49FDAEBF" w14:textId="285ADBD4" w:rsidR="008A6116" w:rsidRPr="00901D53" w:rsidRDefault="005D5E1C" w:rsidP="008A6116">
      <w:pPr>
        <w:pStyle w:val="ListParagraph"/>
        <w:numPr>
          <w:ilvl w:val="1"/>
          <w:numId w:val="14"/>
        </w:numPr>
        <w:jc w:val="both"/>
        <w:rPr>
          <w:rFonts w:ascii="Times New Roman" w:hAnsi="Times New Roman"/>
          <w:sz w:val="22"/>
          <w:szCs w:val="22"/>
        </w:rPr>
      </w:pPr>
      <w:proofErr w:type="spellStart"/>
      <w:r w:rsidRPr="00901D53">
        <w:rPr>
          <w:rFonts w:ascii="Times New Roman" w:hAnsi="Times New Roman"/>
          <w:b/>
          <w:bCs/>
          <w:sz w:val="22"/>
          <w:szCs w:val="22"/>
        </w:rPr>
        <w:t>Portfeļgarantija</w:t>
      </w:r>
      <w:proofErr w:type="spellEnd"/>
      <w:r w:rsidR="003F413A">
        <w:rPr>
          <w:rFonts w:ascii="Times New Roman" w:hAnsi="Times New Roman"/>
          <w:b/>
          <w:bCs/>
          <w:sz w:val="22"/>
          <w:szCs w:val="22"/>
        </w:rPr>
        <w:t xml:space="preserve"> </w:t>
      </w:r>
      <w:r w:rsidRPr="00901D53">
        <w:rPr>
          <w:rFonts w:ascii="Times New Roman" w:hAnsi="Times New Roman"/>
          <w:sz w:val="22"/>
          <w:szCs w:val="22"/>
        </w:rPr>
        <w:t>– finanšu instruments, kas nodrošina Aizdevumu portfeļa zaudējumu segšanu atbilstoši Garantijas likmei, nepārsniedzot Ierobežotās garantijas summu;</w:t>
      </w:r>
    </w:p>
    <w:p w14:paraId="410811BB" w14:textId="77777777" w:rsidR="003F413A" w:rsidRDefault="005D5E1C" w:rsidP="00BC0B78">
      <w:pPr>
        <w:pStyle w:val="ListParagraph"/>
        <w:numPr>
          <w:ilvl w:val="1"/>
          <w:numId w:val="14"/>
        </w:numPr>
        <w:jc w:val="both"/>
        <w:rPr>
          <w:rFonts w:ascii="Times New Roman" w:hAnsi="Times New Roman"/>
          <w:sz w:val="22"/>
          <w:szCs w:val="22"/>
        </w:rPr>
      </w:pPr>
      <w:r w:rsidRPr="000E0315">
        <w:rPr>
          <w:rFonts w:ascii="Times New Roman" w:hAnsi="Times New Roman"/>
          <w:b/>
          <w:bCs/>
          <w:sz w:val="22"/>
          <w:szCs w:val="22"/>
        </w:rPr>
        <w:t>Puses</w:t>
      </w:r>
      <w:r w:rsidRPr="000E0315">
        <w:rPr>
          <w:rFonts w:ascii="Times New Roman" w:hAnsi="Times New Roman"/>
          <w:sz w:val="22"/>
          <w:szCs w:val="22"/>
        </w:rPr>
        <w:t xml:space="preserve"> – ALTUM un Finansētājs abi kopā, un katrs atsevišķi </w:t>
      </w:r>
      <w:r w:rsidR="005F4282" w:rsidRPr="000E0315">
        <w:rPr>
          <w:rFonts w:ascii="Times New Roman" w:hAnsi="Times New Roman"/>
          <w:sz w:val="22"/>
          <w:szCs w:val="22"/>
        </w:rPr>
        <w:t>–</w:t>
      </w:r>
      <w:r w:rsidRPr="000E0315">
        <w:rPr>
          <w:rFonts w:ascii="Times New Roman" w:hAnsi="Times New Roman"/>
          <w:sz w:val="22"/>
          <w:szCs w:val="22"/>
        </w:rPr>
        <w:t xml:space="preserve"> Puse</w:t>
      </w:r>
      <w:r w:rsidR="005F4282" w:rsidRPr="000E0315">
        <w:rPr>
          <w:rFonts w:ascii="Times New Roman" w:hAnsi="Times New Roman"/>
          <w:sz w:val="22"/>
          <w:szCs w:val="22"/>
        </w:rPr>
        <w:t>;</w:t>
      </w:r>
    </w:p>
    <w:p w14:paraId="435BCD7F" w14:textId="77777777" w:rsidR="003F413A" w:rsidRDefault="005F4282" w:rsidP="00BC0B78">
      <w:pPr>
        <w:pStyle w:val="ListParagraph"/>
        <w:numPr>
          <w:ilvl w:val="1"/>
          <w:numId w:val="14"/>
        </w:numPr>
        <w:jc w:val="both"/>
        <w:rPr>
          <w:rFonts w:ascii="Times New Roman" w:hAnsi="Times New Roman"/>
          <w:sz w:val="22"/>
          <w:szCs w:val="22"/>
        </w:rPr>
      </w:pPr>
      <w:r w:rsidRPr="003F413A">
        <w:rPr>
          <w:rFonts w:ascii="Times New Roman" w:hAnsi="Times New Roman"/>
          <w:b/>
          <w:bCs/>
          <w:sz w:val="22"/>
          <w:szCs w:val="22"/>
        </w:rPr>
        <w:t xml:space="preserve">Aizdevumu portfeļa prognoze – </w:t>
      </w:r>
      <w:r w:rsidRPr="003F413A">
        <w:rPr>
          <w:rFonts w:ascii="Times New Roman" w:hAnsi="Times New Roman"/>
          <w:sz w:val="22"/>
          <w:szCs w:val="22"/>
        </w:rPr>
        <w:t>prognozējamais izsniedzamo (izmaksājamo) Finanšu pakalpojumu līgumu apmērs kalendārā gadā, kas sastāv no iepriekšējā kalendārā gadā piešķirtiem Finanšu pakalpojumiem (t.i., parakstītiem Finanšu pakalpojumu līgumiem) un paredz turpmākajos gados prognozējamās faktiski izmaksājamās kredītu summas, izdarot pieņēmumu, ka visi parakstītie Finanšu pakalpojumu līgumi tiek izsniegti pilnā apmērā Kredīta ņēmēja norādītajā studiju ilgumā, kredītu izsniedzot pa semestriem vienādās daļās. Līguma darbības gaitā Puses var piemērot arī papildus pieņēmumus attiecībā uz Aizdevumu portfeļa prognozes sastādīšanu, par to atsevišķi vienojoties (piemēram, izdarīt pieņēmumu par studijas pametušo studentu proporciju u.tml.);</w:t>
      </w:r>
    </w:p>
    <w:p w14:paraId="3AFBFCBD" w14:textId="51F872E0" w:rsidR="005F4282" w:rsidRPr="003F413A" w:rsidRDefault="005F4282" w:rsidP="00BC0B78">
      <w:pPr>
        <w:pStyle w:val="ListParagraph"/>
        <w:numPr>
          <w:ilvl w:val="1"/>
          <w:numId w:val="14"/>
        </w:numPr>
        <w:jc w:val="both"/>
        <w:rPr>
          <w:rFonts w:ascii="Times New Roman" w:hAnsi="Times New Roman"/>
          <w:sz w:val="22"/>
          <w:szCs w:val="22"/>
        </w:rPr>
      </w:pPr>
      <w:r w:rsidRPr="003F413A">
        <w:rPr>
          <w:rFonts w:ascii="Times New Roman" w:hAnsi="Times New Roman"/>
          <w:b/>
          <w:bCs/>
          <w:sz w:val="22"/>
          <w:szCs w:val="22"/>
        </w:rPr>
        <w:t>Maksim</w:t>
      </w:r>
      <w:r w:rsidRPr="003F413A">
        <w:rPr>
          <w:rFonts w:ascii="Times New Roman" w:hAnsi="Times New Roman" w:hint="eastAsia"/>
          <w:b/>
          <w:bCs/>
          <w:sz w:val="22"/>
          <w:szCs w:val="22"/>
        </w:rPr>
        <w:t>ā</w:t>
      </w:r>
      <w:r w:rsidRPr="003F413A">
        <w:rPr>
          <w:rFonts w:ascii="Times New Roman" w:hAnsi="Times New Roman"/>
          <w:b/>
          <w:bCs/>
          <w:sz w:val="22"/>
          <w:szCs w:val="22"/>
        </w:rPr>
        <w:t>l</w:t>
      </w:r>
      <w:r w:rsidRPr="003F413A">
        <w:rPr>
          <w:rFonts w:ascii="Times New Roman" w:hAnsi="Times New Roman" w:hint="eastAsia"/>
          <w:b/>
          <w:bCs/>
          <w:sz w:val="22"/>
          <w:szCs w:val="22"/>
        </w:rPr>
        <w:t>ā</w:t>
      </w:r>
      <w:r w:rsidRPr="003F413A">
        <w:rPr>
          <w:rFonts w:ascii="Times New Roman" w:hAnsi="Times New Roman"/>
          <w:b/>
          <w:bCs/>
          <w:sz w:val="22"/>
          <w:szCs w:val="22"/>
        </w:rPr>
        <w:t xml:space="preserve"> izsniedzam</w:t>
      </w:r>
      <w:r w:rsidRPr="003F413A">
        <w:rPr>
          <w:rFonts w:ascii="Times New Roman" w:hAnsi="Times New Roman" w:hint="eastAsia"/>
          <w:b/>
          <w:bCs/>
          <w:sz w:val="22"/>
          <w:szCs w:val="22"/>
        </w:rPr>
        <w:t>ā</w:t>
      </w:r>
      <w:r w:rsidRPr="003F413A">
        <w:rPr>
          <w:rFonts w:ascii="Times New Roman" w:hAnsi="Times New Roman"/>
          <w:b/>
          <w:bCs/>
          <w:sz w:val="22"/>
          <w:szCs w:val="22"/>
        </w:rPr>
        <w:t xml:space="preserve"> Finanšu pakalpojumu summa</w:t>
      </w:r>
      <w:r w:rsidRPr="003F413A">
        <w:rPr>
          <w:rFonts w:ascii="Times New Roman" w:hAnsi="Times New Roman"/>
          <w:sz w:val="22"/>
          <w:szCs w:val="22"/>
        </w:rPr>
        <w:t xml:space="preserve"> – L</w:t>
      </w:r>
      <w:r w:rsidRPr="003F413A">
        <w:rPr>
          <w:rFonts w:ascii="Times New Roman" w:hAnsi="Times New Roman" w:hint="eastAsia"/>
          <w:sz w:val="22"/>
          <w:szCs w:val="22"/>
        </w:rPr>
        <w:t>ī</w:t>
      </w:r>
      <w:r w:rsidRPr="003F413A">
        <w:rPr>
          <w:rFonts w:ascii="Times New Roman" w:hAnsi="Times New Roman"/>
          <w:sz w:val="22"/>
          <w:szCs w:val="22"/>
        </w:rPr>
        <w:t>guma speci</w:t>
      </w:r>
      <w:r w:rsidRPr="003F413A">
        <w:rPr>
          <w:rFonts w:ascii="Times New Roman" w:hAnsi="Times New Roman" w:hint="eastAsia"/>
          <w:sz w:val="22"/>
          <w:szCs w:val="22"/>
        </w:rPr>
        <w:t>ā</w:t>
      </w:r>
      <w:r w:rsidRPr="003F413A">
        <w:rPr>
          <w:rFonts w:ascii="Times New Roman" w:hAnsi="Times New Roman"/>
          <w:sz w:val="22"/>
          <w:szCs w:val="22"/>
        </w:rPr>
        <w:t>lajos noteikumos (Pielikums Nr.1) 7.punkt</w:t>
      </w:r>
      <w:r w:rsidRPr="003F413A">
        <w:rPr>
          <w:rFonts w:ascii="Times New Roman" w:hAnsi="Times New Roman" w:hint="eastAsia"/>
          <w:sz w:val="22"/>
          <w:szCs w:val="22"/>
        </w:rPr>
        <w:t>ā</w:t>
      </w:r>
      <w:r w:rsidRPr="003F413A">
        <w:rPr>
          <w:rFonts w:ascii="Times New Roman" w:hAnsi="Times New Roman"/>
          <w:sz w:val="22"/>
          <w:szCs w:val="22"/>
        </w:rPr>
        <w:t xml:space="preserve"> noteikt</w:t>
      </w:r>
      <w:r w:rsidRPr="003F413A">
        <w:rPr>
          <w:rFonts w:ascii="Times New Roman" w:hAnsi="Times New Roman" w:hint="eastAsia"/>
          <w:sz w:val="22"/>
          <w:szCs w:val="22"/>
        </w:rPr>
        <w:t>ā</w:t>
      </w:r>
      <w:r w:rsidRPr="003F413A">
        <w:rPr>
          <w:rFonts w:ascii="Times New Roman" w:hAnsi="Times New Roman"/>
          <w:sz w:val="22"/>
          <w:szCs w:val="22"/>
        </w:rPr>
        <w:t xml:space="preserve"> izsniedzam</w:t>
      </w:r>
      <w:r w:rsidRPr="003F413A">
        <w:rPr>
          <w:rFonts w:ascii="Times New Roman" w:hAnsi="Times New Roman" w:hint="eastAsia"/>
          <w:sz w:val="22"/>
          <w:szCs w:val="22"/>
        </w:rPr>
        <w:t>ā</w:t>
      </w:r>
      <w:r w:rsidRPr="003F413A">
        <w:rPr>
          <w:rFonts w:ascii="Times New Roman" w:hAnsi="Times New Roman"/>
          <w:sz w:val="22"/>
          <w:szCs w:val="22"/>
        </w:rPr>
        <w:t xml:space="preserve"> (izmaks</w:t>
      </w:r>
      <w:r w:rsidRPr="003F413A">
        <w:rPr>
          <w:rFonts w:ascii="Times New Roman" w:hAnsi="Times New Roman" w:hint="eastAsia"/>
          <w:sz w:val="22"/>
          <w:szCs w:val="22"/>
        </w:rPr>
        <w:t>ā</w:t>
      </w:r>
      <w:r w:rsidRPr="003F413A">
        <w:rPr>
          <w:rFonts w:ascii="Times New Roman" w:hAnsi="Times New Roman"/>
          <w:sz w:val="22"/>
          <w:szCs w:val="22"/>
        </w:rPr>
        <w:t>jam</w:t>
      </w:r>
      <w:r w:rsidRPr="003F413A">
        <w:rPr>
          <w:rFonts w:ascii="Times New Roman" w:hAnsi="Times New Roman" w:hint="eastAsia"/>
          <w:sz w:val="22"/>
          <w:szCs w:val="22"/>
        </w:rPr>
        <w:t>ā</w:t>
      </w:r>
      <w:r w:rsidRPr="003F413A">
        <w:rPr>
          <w:rFonts w:ascii="Times New Roman" w:hAnsi="Times New Roman"/>
          <w:sz w:val="22"/>
          <w:szCs w:val="22"/>
        </w:rPr>
        <w:t>) Finanšu pakalpojuma summa, kuru attiec</w:t>
      </w:r>
      <w:r w:rsidRPr="003F413A">
        <w:rPr>
          <w:rFonts w:ascii="Times New Roman" w:hAnsi="Times New Roman" w:hint="eastAsia"/>
          <w:sz w:val="22"/>
          <w:szCs w:val="22"/>
        </w:rPr>
        <w:t>ī</w:t>
      </w:r>
      <w:r w:rsidRPr="003F413A">
        <w:rPr>
          <w:rFonts w:ascii="Times New Roman" w:hAnsi="Times New Roman"/>
          <w:sz w:val="22"/>
          <w:szCs w:val="22"/>
        </w:rPr>
        <w:t>g</w:t>
      </w:r>
      <w:r w:rsidRPr="003F413A">
        <w:rPr>
          <w:rFonts w:ascii="Times New Roman" w:hAnsi="Times New Roman" w:hint="eastAsia"/>
          <w:sz w:val="22"/>
          <w:szCs w:val="22"/>
        </w:rPr>
        <w:t>ā</w:t>
      </w:r>
      <w:r w:rsidRPr="003F413A">
        <w:rPr>
          <w:rFonts w:ascii="Times New Roman" w:hAnsi="Times New Roman"/>
          <w:sz w:val="22"/>
          <w:szCs w:val="22"/>
        </w:rPr>
        <w:t xml:space="preserve"> kalend</w:t>
      </w:r>
      <w:r w:rsidRPr="003F413A">
        <w:rPr>
          <w:rFonts w:ascii="Times New Roman" w:hAnsi="Times New Roman" w:hint="eastAsia"/>
          <w:sz w:val="22"/>
          <w:szCs w:val="22"/>
        </w:rPr>
        <w:t>ā</w:t>
      </w:r>
      <w:r w:rsidRPr="003F413A">
        <w:rPr>
          <w:rFonts w:ascii="Times New Roman" w:hAnsi="Times New Roman"/>
          <w:sz w:val="22"/>
          <w:szCs w:val="22"/>
        </w:rPr>
        <w:t>r</w:t>
      </w:r>
      <w:r w:rsidRPr="003F413A">
        <w:rPr>
          <w:rFonts w:ascii="Times New Roman" w:hAnsi="Times New Roman" w:hint="eastAsia"/>
          <w:sz w:val="22"/>
          <w:szCs w:val="22"/>
        </w:rPr>
        <w:t>ā</w:t>
      </w:r>
      <w:r w:rsidRPr="003F413A">
        <w:rPr>
          <w:rFonts w:ascii="Times New Roman" w:hAnsi="Times New Roman"/>
          <w:sz w:val="22"/>
          <w:szCs w:val="22"/>
        </w:rPr>
        <w:t xml:space="preserve"> gada ietvaros Finans</w:t>
      </w:r>
      <w:r w:rsidRPr="003F413A">
        <w:rPr>
          <w:rFonts w:ascii="Times New Roman" w:hAnsi="Times New Roman" w:hint="eastAsia"/>
          <w:sz w:val="22"/>
          <w:szCs w:val="22"/>
        </w:rPr>
        <w:t>ē</w:t>
      </w:r>
      <w:r w:rsidRPr="003F413A">
        <w:rPr>
          <w:rFonts w:ascii="Times New Roman" w:hAnsi="Times New Roman"/>
          <w:sz w:val="22"/>
          <w:szCs w:val="22"/>
        </w:rPr>
        <w:t>t</w:t>
      </w:r>
      <w:r w:rsidRPr="003F413A">
        <w:rPr>
          <w:rFonts w:ascii="Times New Roman" w:hAnsi="Times New Roman" w:hint="eastAsia"/>
          <w:sz w:val="22"/>
          <w:szCs w:val="22"/>
        </w:rPr>
        <w:t>ā</w:t>
      </w:r>
      <w:r w:rsidRPr="003F413A">
        <w:rPr>
          <w:rFonts w:ascii="Times New Roman" w:hAnsi="Times New Roman"/>
          <w:sz w:val="22"/>
          <w:szCs w:val="22"/>
        </w:rPr>
        <w:t>js ir ties</w:t>
      </w:r>
      <w:r w:rsidRPr="003F413A">
        <w:rPr>
          <w:rFonts w:ascii="Times New Roman" w:hAnsi="Times New Roman" w:hint="eastAsia"/>
          <w:sz w:val="22"/>
          <w:szCs w:val="22"/>
        </w:rPr>
        <w:t>ī</w:t>
      </w:r>
      <w:r w:rsidRPr="003F413A">
        <w:rPr>
          <w:rFonts w:ascii="Times New Roman" w:hAnsi="Times New Roman"/>
          <w:sz w:val="22"/>
          <w:szCs w:val="22"/>
        </w:rPr>
        <w:t>gs izsniegt (izmaks</w:t>
      </w:r>
      <w:r w:rsidRPr="003F413A">
        <w:rPr>
          <w:rFonts w:ascii="Times New Roman" w:hAnsi="Times New Roman" w:hint="eastAsia"/>
          <w:sz w:val="22"/>
          <w:szCs w:val="22"/>
        </w:rPr>
        <w:t>ā</w:t>
      </w:r>
      <w:r w:rsidRPr="003F413A">
        <w:rPr>
          <w:rFonts w:ascii="Times New Roman" w:hAnsi="Times New Roman"/>
          <w:sz w:val="22"/>
          <w:szCs w:val="22"/>
        </w:rPr>
        <w:t>t).</w:t>
      </w:r>
    </w:p>
    <w:p w14:paraId="3F17E51A" w14:textId="77777777" w:rsidR="00096BFA" w:rsidRPr="00901D53" w:rsidRDefault="00096BFA" w:rsidP="00736A36">
      <w:pPr>
        <w:pStyle w:val="BodyText"/>
        <w:numPr>
          <w:ilvl w:val="0"/>
          <w:numId w:val="0"/>
        </w:numPr>
        <w:ind w:left="720"/>
      </w:pPr>
    </w:p>
    <w:p w14:paraId="12BCFA41" w14:textId="4B70FDFC" w:rsidR="00096BFA" w:rsidRPr="00BC0B78" w:rsidRDefault="00096BFA" w:rsidP="008D61A7">
      <w:pPr>
        <w:pStyle w:val="NoSpacing"/>
        <w:numPr>
          <w:ilvl w:val="0"/>
          <w:numId w:val="14"/>
        </w:numPr>
        <w:rPr>
          <w:rFonts w:ascii="Times New Roman" w:hAnsi="Times New Roman"/>
          <w:b/>
        </w:rPr>
      </w:pPr>
      <w:r w:rsidRPr="00BC0B78">
        <w:rPr>
          <w:rFonts w:ascii="Times New Roman" w:hAnsi="Times New Roman"/>
          <w:b/>
        </w:rPr>
        <w:t xml:space="preserve">Līguma priekšmets </w:t>
      </w:r>
    </w:p>
    <w:p w14:paraId="76D940FD" w14:textId="1F638175" w:rsidR="00096BFA" w:rsidRPr="00EF684E" w:rsidRDefault="00096BFA" w:rsidP="00736A36">
      <w:pPr>
        <w:pStyle w:val="BodyText"/>
      </w:pPr>
      <w:r w:rsidRPr="00BC0B78">
        <w:t xml:space="preserve">Līgums nosaka Finansētāja un ALTUM </w:t>
      </w:r>
      <w:bookmarkStart w:id="3" w:name="_Ref472342063"/>
      <w:r w:rsidRPr="00BC0B78">
        <w:t>sadarbīb</w:t>
      </w:r>
      <w:r w:rsidR="002D7D66" w:rsidRPr="00BC0B78">
        <w:t xml:space="preserve">as kārtību par studiju un studējošo </w:t>
      </w:r>
      <w:r w:rsidR="002D7D66" w:rsidRPr="005F4282">
        <w:t xml:space="preserve">kreditēšanas </w:t>
      </w:r>
      <w:proofErr w:type="spellStart"/>
      <w:r w:rsidR="002D7D66" w:rsidRPr="005F4282">
        <w:t>portfeļgarantiju</w:t>
      </w:r>
      <w:proofErr w:type="spellEnd"/>
      <w:r w:rsidR="002D7D66" w:rsidRPr="005F4282">
        <w:t xml:space="preserve"> sniegšanu, tai skaitā, kredītu garantiju piešķiršanas un </w:t>
      </w:r>
      <w:r w:rsidR="002D7D66" w:rsidRPr="00EF684E">
        <w:t xml:space="preserve">informācijas apmaiņas </w:t>
      </w:r>
      <w:r w:rsidR="008D61A7" w:rsidRPr="00EF684E">
        <w:t>nosacījumus</w:t>
      </w:r>
      <w:r w:rsidR="002D7D66" w:rsidRPr="00EF684E">
        <w:t xml:space="preserve">, līguma termiņu, garantijas un </w:t>
      </w:r>
      <w:proofErr w:type="spellStart"/>
      <w:r w:rsidR="002D7D66" w:rsidRPr="00EF684E">
        <w:t>portfeļgarantijas</w:t>
      </w:r>
      <w:proofErr w:type="spellEnd"/>
      <w:r w:rsidR="002D7D66" w:rsidRPr="00EF684E">
        <w:t xml:space="preserve"> nosacījumus, tai skaitā sasniedzamo aizdevumu portfeļa apjomu, kompensāciju izmaksas kārtību, garantijas prēmijas apmaksas kārtību, ja tāda paredzēta, zaudējumu piedziņas</w:t>
      </w:r>
      <w:r w:rsidR="000B1A36" w:rsidRPr="00EF684E">
        <w:t xml:space="preserve"> </w:t>
      </w:r>
      <w:r w:rsidRPr="00EF684E">
        <w:t>un citus jautājumus.</w:t>
      </w:r>
      <w:bookmarkEnd w:id="3"/>
    </w:p>
    <w:p w14:paraId="079F1EA7" w14:textId="2748A0B7" w:rsidR="00096BFA" w:rsidRPr="00901D53" w:rsidRDefault="00096BFA" w:rsidP="00736A36">
      <w:pPr>
        <w:pStyle w:val="BodyText"/>
      </w:pPr>
      <w:r w:rsidRPr="00EF684E">
        <w:t xml:space="preserve">Līguma speciālie noteikumi norādīti Līguma Pielikumā Nr.1. </w:t>
      </w:r>
      <w:r w:rsidR="002E7C5F" w:rsidRPr="00EF684E">
        <w:t>Finansētāja Piedāvājums (t.sk. Kreditēšanas stratēģija) ir Līguma Pielikums</w:t>
      </w:r>
      <w:r w:rsidR="002E7C5F" w:rsidRPr="00901D53">
        <w:t xml:space="preserve"> Nr.</w:t>
      </w:r>
      <w:r w:rsidR="00A76278" w:rsidRPr="00901D53">
        <w:t>2</w:t>
      </w:r>
      <w:r w:rsidR="002E7C5F" w:rsidRPr="00901D53">
        <w:t>.</w:t>
      </w:r>
    </w:p>
    <w:p w14:paraId="284A6306" w14:textId="707CFB27" w:rsidR="00A76278" w:rsidRPr="00901D53" w:rsidRDefault="00A76278" w:rsidP="00736A36">
      <w:pPr>
        <w:pStyle w:val="BodyText"/>
      </w:pPr>
      <w:r w:rsidRPr="00901D53">
        <w:t>Maksa par garantijas izsniegšanu (garantijas prēmija) netiek piemērota.</w:t>
      </w:r>
    </w:p>
    <w:p w14:paraId="7E67A024" w14:textId="77777777" w:rsidR="00096BFA" w:rsidRPr="00901D53" w:rsidRDefault="00096BFA" w:rsidP="00096BFA">
      <w:pPr>
        <w:pStyle w:val="NoSpacing"/>
        <w:jc w:val="both"/>
        <w:rPr>
          <w:rFonts w:ascii="Times New Roman" w:hAnsi="Times New Roman"/>
        </w:rPr>
      </w:pPr>
    </w:p>
    <w:p w14:paraId="68777D1C" w14:textId="77777777" w:rsidR="00096BFA" w:rsidRPr="00901D53" w:rsidRDefault="00096BFA" w:rsidP="008D61A7">
      <w:pPr>
        <w:pStyle w:val="NoSpacing"/>
        <w:numPr>
          <w:ilvl w:val="0"/>
          <w:numId w:val="14"/>
        </w:numPr>
        <w:jc w:val="both"/>
        <w:rPr>
          <w:rFonts w:ascii="Times New Roman" w:hAnsi="Times New Roman"/>
          <w:b/>
        </w:rPr>
      </w:pPr>
      <w:bookmarkStart w:id="4" w:name="_Ref498591380"/>
      <w:r w:rsidRPr="00901D53">
        <w:rPr>
          <w:rFonts w:ascii="Times New Roman" w:hAnsi="Times New Roman"/>
          <w:b/>
        </w:rPr>
        <w:t>Garantiju piešķiršana un nosacījumi</w:t>
      </w:r>
      <w:bookmarkEnd w:id="4"/>
    </w:p>
    <w:p w14:paraId="4B079B13" w14:textId="22D78F2D" w:rsidR="00096BFA" w:rsidRPr="00AA55C2" w:rsidRDefault="005F4282" w:rsidP="00736A36">
      <w:pPr>
        <w:pStyle w:val="BodyText"/>
      </w:pPr>
      <w:r w:rsidRPr="004C72D2">
        <w:t xml:space="preserve">Finansētājs iekļauj Aizdevumu portfelī tikai Līgumam un MK noteikumiem atbilstošus Finanšu pakalpojumus vai to </w:t>
      </w:r>
      <w:r w:rsidRPr="009844B0">
        <w:t xml:space="preserve">palielinājumus, par kuriem Finanšu pakalpojumu līgumi noslēgti līdz Atbilstības perioda beigām, </w:t>
      </w:r>
      <w:r w:rsidRPr="0012391C">
        <w:t xml:space="preserve">ievērojot Maksimālās izsniedzamās Finanšu pakalpojumu summas apmērus, ja vien ALTUM nav informējis Finansētāju par valsts budžeta finansējuma nepieejamību saskaņā ar </w:t>
      </w:r>
      <w:r w:rsidR="004D2A14">
        <w:t>L</w:t>
      </w:r>
      <w:r w:rsidRPr="0012391C">
        <w:t xml:space="preserve">īguma 1.8.punkta nosacījumiem. </w:t>
      </w:r>
      <w:r w:rsidRPr="00AA55C2">
        <w:t>Aizdevumu portfelī iekļauto Finanšu pakalpojumu līgumu pamatsummu nevar palielināt, ja Finanšu pakalpojumu līgums grozīts pēc Atbilstības perioda beigām</w:t>
      </w:r>
      <w:r w:rsidR="00096BFA" w:rsidRPr="00AA55C2">
        <w:t xml:space="preserve">. </w:t>
      </w:r>
    </w:p>
    <w:p w14:paraId="7DD50410" w14:textId="06953027" w:rsidR="00096BFA" w:rsidRPr="00901D53" w:rsidRDefault="005F4282" w:rsidP="00736A36">
      <w:pPr>
        <w:pStyle w:val="BodyText"/>
      </w:pPr>
      <w:r>
        <w:t xml:space="preserve"> </w:t>
      </w:r>
      <w:proofErr w:type="spellStart"/>
      <w:r w:rsidRPr="009844B0">
        <w:t>Portfeļgarantija</w:t>
      </w:r>
      <w:proofErr w:type="spellEnd"/>
      <w:r w:rsidRPr="009844B0">
        <w:t xml:space="preserve"> nodrošina Finansētāja atbilstoši Līguma nosacījumiem izveidotā Aizdevumu portfeļa zaudējumu segumu t.i., neatmaksātās Finanšu pakalpojuma pamatsummas daļas zaudējumus, ja ir iestājies Garantijas gadījums, nepārsniedzot Ierobežoto garantijas summu (</w:t>
      </w:r>
      <w:proofErr w:type="spellStart"/>
      <w:r w:rsidRPr="009844B0">
        <w:t>guarantee</w:t>
      </w:r>
      <w:proofErr w:type="spellEnd"/>
      <w:r w:rsidRPr="009844B0">
        <w:t xml:space="preserve"> </w:t>
      </w:r>
      <w:proofErr w:type="spellStart"/>
      <w:r w:rsidRPr="009844B0">
        <w:t>cap</w:t>
      </w:r>
      <w:proofErr w:type="spellEnd"/>
      <w:r w:rsidRPr="009844B0">
        <w:t xml:space="preserve"> </w:t>
      </w:r>
      <w:proofErr w:type="spellStart"/>
      <w:r w:rsidRPr="009844B0">
        <w:t>amount</w:t>
      </w:r>
      <w:proofErr w:type="spellEnd"/>
      <w:r w:rsidRPr="009844B0">
        <w:t>), kas noteikta Līguma speciālajos noteikumos (Pielikums Nr.1)</w:t>
      </w:r>
      <w:r w:rsidRPr="0012391C">
        <w:t xml:space="preserve">, ja vien ALTUM nav informējis Finansētāju par valsts budžeta finansējuma nepieejamību saskaņā ar </w:t>
      </w:r>
      <w:r w:rsidR="004D2A14">
        <w:t>L</w:t>
      </w:r>
      <w:r w:rsidRPr="0012391C">
        <w:t>īguma 1.8.punkta noteikumiem</w:t>
      </w:r>
      <w:r w:rsidRPr="009844B0">
        <w:t>. Garantija ir nodrošinājums un neatbrīvo Finansētāju no iespējamo zaudējumu riska</w:t>
      </w:r>
      <w:r w:rsidR="00446A45" w:rsidRPr="00901D53">
        <w:t>.</w:t>
      </w:r>
    </w:p>
    <w:p w14:paraId="570625C5" w14:textId="78CB7A39" w:rsidR="00B63A89" w:rsidRPr="00901D53" w:rsidRDefault="00096BFA" w:rsidP="00736A36">
      <w:pPr>
        <w:pStyle w:val="BodyText"/>
      </w:pPr>
      <w:r w:rsidRPr="00901D53">
        <w:t>Ierobežotā</w:t>
      </w:r>
      <w:r w:rsidR="007C4BB0" w:rsidRPr="00901D53">
        <w:t>s</w:t>
      </w:r>
      <w:r w:rsidRPr="00901D53">
        <w:t xml:space="preserve"> garantijas </w:t>
      </w:r>
      <w:r w:rsidR="00FD48E7">
        <w:t xml:space="preserve">likme </w:t>
      </w:r>
      <w:r w:rsidR="0032359A" w:rsidRPr="00901D53">
        <w:t>(</w:t>
      </w:r>
      <w:proofErr w:type="spellStart"/>
      <w:r w:rsidR="0032359A" w:rsidRPr="00901D53">
        <w:rPr>
          <w:i/>
        </w:rPr>
        <w:t>guarantee</w:t>
      </w:r>
      <w:proofErr w:type="spellEnd"/>
      <w:r w:rsidR="0032359A" w:rsidRPr="00901D53">
        <w:rPr>
          <w:i/>
        </w:rPr>
        <w:t xml:space="preserve"> </w:t>
      </w:r>
      <w:proofErr w:type="spellStart"/>
      <w:r w:rsidR="0032359A" w:rsidRPr="00901D53">
        <w:rPr>
          <w:i/>
        </w:rPr>
        <w:t>cap</w:t>
      </w:r>
      <w:proofErr w:type="spellEnd"/>
      <w:r w:rsidR="0032359A" w:rsidRPr="00901D53">
        <w:rPr>
          <w:i/>
        </w:rPr>
        <w:t xml:space="preserve"> </w:t>
      </w:r>
      <w:proofErr w:type="spellStart"/>
      <w:r w:rsidR="0032359A" w:rsidRPr="00901D53">
        <w:rPr>
          <w:i/>
        </w:rPr>
        <w:t>rate</w:t>
      </w:r>
      <w:proofErr w:type="spellEnd"/>
      <w:r w:rsidR="0032359A" w:rsidRPr="00901D53">
        <w:t xml:space="preserve">) </w:t>
      </w:r>
      <w:r w:rsidRPr="00901D53">
        <w:t>ir noteikt</w:t>
      </w:r>
      <w:r w:rsidR="00FD48E7">
        <w:t>a</w:t>
      </w:r>
      <w:r w:rsidR="001D4581" w:rsidRPr="00901D53">
        <w:t xml:space="preserve"> Līguma speciālajos noteikumos (</w:t>
      </w:r>
      <w:r w:rsidRPr="00901D53">
        <w:t>Pielikum</w:t>
      </w:r>
      <w:r w:rsidR="001D4581" w:rsidRPr="00901D53">
        <w:t>s</w:t>
      </w:r>
      <w:r w:rsidRPr="00901D53">
        <w:t xml:space="preserve"> Nr.1</w:t>
      </w:r>
      <w:r w:rsidR="001D4581" w:rsidRPr="00901D53">
        <w:t>).</w:t>
      </w:r>
    </w:p>
    <w:p w14:paraId="728D4A8A" w14:textId="0C95F437" w:rsidR="00096BFA" w:rsidRPr="00EF684E" w:rsidRDefault="00FE5F29" w:rsidP="00736A36">
      <w:pPr>
        <w:pStyle w:val="BodyText"/>
      </w:pPr>
      <w:r w:rsidRPr="00901D53">
        <w:t>Garantijas</w:t>
      </w:r>
      <w:r w:rsidR="00096BFA" w:rsidRPr="00901D53">
        <w:t xml:space="preserve"> </w:t>
      </w:r>
      <w:r w:rsidR="006E6329">
        <w:t>likme</w:t>
      </w:r>
      <w:r w:rsidR="006E6329" w:rsidRPr="00901D53">
        <w:t xml:space="preserve"> </w:t>
      </w:r>
      <w:r w:rsidR="00BE1B2D">
        <w:t xml:space="preserve">ir </w:t>
      </w:r>
      <w:r w:rsidR="00096BFA" w:rsidRPr="00901D53">
        <w:t>noteik</w:t>
      </w:r>
      <w:r w:rsidR="00F51527" w:rsidRPr="00901D53">
        <w:t>t</w:t>
      </w:r>
      <w:r w:rsidR="006E6329">
        <w:t>a</w:t>
      </w:r>
      <w:r w:rsidR="00096BFA" w:rsidRPr="00901D53">
        <w:t xml:space="preserve"> Līguma speciālajos noteikumos (Pielikums Nr.1). Zaudējumi, </w:t>
      </w:r>
      <w:r w:rsidR="00096BFA" w:rsidRPr="00901D53">
        <w:rPr>
          <w:u w:color="000000"/>
        </w:rPr>
        <w:t xml:space="preserve">kas radušies </w:t>
      </w:r>
      <w:r w:rsidR="000345FC" w:rsidRPr="00901D53">
        <w:rPr>
          <w:u w:color="000000"/>
        </w:rPr>
        <w:t>Kredīta ņēmēja</w:t>
      </w:r>
      <w:r w:rsidR="00096BFA" w:rsidRPr="00901D53">
        <w:rPr>
          <w:u w:color="000000"/>
        </w:rPr>
        <w:t xml:space="preserve"> saistību nepildīšanas gadījumā par Finansētāja </w:t>
      </w:r>
      <w:r w:rsidR="000345FC" w:rsidRPr="00901D53">
        <w:rPr>
          <w:u w:color="000000"/>
        </w:rPr>
        <w:t>Kredīta ņēmējam</w:t>
      </w:r>
      <w:r w:rsidR="00096BFA" w:rsidRPr="00901D53">
        <w:rPr>
          <w:u w:color="000000"/>
        </w:rPr>
        <w:t xml:space="preserve"> sniegtu </w:t>
      </w:r>
      <w:r w:rsidR="00EB27F8" w:rsidRPr="00901D53">
        <w:rPr>
          <w:u w:color="000000"/>
        </w:rPr>
        <w:t xml:space="preserve">Finanšu </w:t>
      </w:r>
      <w:r w:rsidR="00096BFA" w:rsidRPr="00901D53">
        <w:rPr>
          <w:u w:color="000000"/>
        </w:rPr>
        <w:t>pakalpojumu,</w:t>
      </w:r>
      <w:r w:rsidR="00370EC4" w:rsidRPr="00901D53">
        <w:t xml:space="preserve"> </w:t>
      </w:r>
      <w:r w:rsidR="00370EC4" w:rsidRPr="00901D53">
        <w:rPr>
          <w:u w:color="000000"/>
        </w:rPr>
        <w:t>t.i., neatmaksātā Finanšu pakalpojuma pamatsumma,</w:t>
      </w:r>
      <w:r w:rsidR="00096BFA" w:rsidRPr="00901D53">
        <w:t xml:space="preserve"> tiek dalīti proporcionāli</w:t>
      </w:r>
      <w:r w:rsidR="00C97566" w:rsidRPr="00901D53">
        <w:t xml:space="preserve"> </w:t>
      </w:r>
      <w:r w:rsidR="00096BFA" w:rsidRPr="00901D53">
        <w:t>riska sadalījumam starp ALTUM un Finansētāju</w:t>
      </w:r>
      <w:r w:rsidR="009D7651">
        <w:t xml:space="preserve">, piemērojot Līguma 7.4.punktā </w:t>
      </w:r>
      <w:r w:rsidR="009D7651">
        <w:lastRenderedPageBreak/>
        <w:t>noteikto formulu</w:t>
      </w:r>
      <w:r w:rsidR="00286CF6">
        <w:t>, izņemot, ja</w:t>
      </w:r>
      <w:r w:rsidR="00286CF6" w:rsidRPr="00286CF6">
        <w:t xml:space="preserve"> Kred</w:t>
      </w:r>
      <w:r w:rsidR="00286CF6" w:rsidRPr="00286CF6">
        <w:rPr>
          <w:rFonts w:hint="eastAsia"/>
        </w:rPr>
        <w:t>ī</w:t>
      </w:r>
      <w:r w:rsidR="00286CF6" w:rsidRPr="00286CF6">
        <w:t xml:space="preserve">ta </w:t>
      </w:r>
      <w:r w:rsidR="00286CF6" w:rsidRPr="00286CF6">
        <w:rPr>
          <w:rFonts w:hint="eastAsia"/>
        </w:rPr>
        <w:t>ņē</w:t>
      </w:r>
      <w:r w:rsidR="00286CF6" w:rsidRPr="00286CF6">
        <w:t>m</w:t>
      </w:r>
      <w:r w:rsidR="00286CF6" w:rsidRPr="00286CF6">
        <w:rPr>
          <w:rFonts w:hint="eastAsia"/>
        </w:rPr>
        <w:t>ē</w:t>
      </w:r>
      <w:r w:rsidR="00286CF6" w:rsidRPr="00286CF6">
        <w:t>js ir miris vai p</w:t>
      </w:r>
      <w:r w:rsidR="00286CF6" w:rsidRPr="00286CF6">
        <w:rPr>
          <w:rFonts w:hint="eastAsia"/>
        </w:rPr>
        <w:t>ē</w:t>
      </w:r>
      <w:r w:rsidR="00286CF6" w:rsidRPr="00286CF6">
        <w:t>c kred</w:t>
      </w:r>
      <w:r w:rsidR="00286CF6" w:rsidRPr="00286CF6">
        <w:rPr>
          <w:rFonts w:hint="eastAsia"/>
        </w:rPr>
        <w:t>ī</w:t>
      </w:r>
      <w:r w:rsidR="00286CF6" w:rsidRPr="00286CF6">
        <w:t>ta izmaksas Kred</w:t>
      </w:r>
      <w:r w:rsidR="00286CF6" w:rsidRPr="00286CF6">
        <w:rPr>
          <w:rFonts w:hint="eastAsia"/>
        </w:rPr>
        <w:t>ī</w:t>
      </w:r>
      <w:r w:rsidR="00286CF6" w:rsidRPr="00286CF6">
        <w:t xml:space="preserve">ta </w:t>
      </w:r>
      <w:r w:rsidR="00286CF6" w:rsidRPr="00286CF6">
        <w:rPr>
          <w:rFonts w:hint="eastAsia"/>
        </w:rPr>
        <w:t>ņē</w:t>
      </w:r>
      <w:r w:rsidR="00286CF6" w:rsidRPr="00286CF6">
        <w:t>m</w:t>
      </w:r>
      <w:r w:rsidR="00286CF6" w:rsidRPr="00286CF6">
        <w:rPr>
          <w:rFonts w:hint="eastAsia"/>
        </w:rPr>
        <w:t>ē</w:t>
      </w:r>
      <w:r w:rsidR="00286CF6" w:rsidRPr="00286CF6">
        <w:t>jam ir noteikta I vai II invalidit</w:t>
      </w:r>
      <w:r w:rsidR="00286CF6" w:rsidRPr="00286CF6">
        <w:rPr>
          <w:rFonts w:hint="eastAsia"/>
        </w:rPr>
        <w:t>ā</w:t>
      </w:r>
      <w:r w:rsidR="00286CF6" w:rsidRPr="00286CF6">
        <w:t>tes grupa, vai t</w:t>
      </w:r>
      <w:r w:rsidR="00286CF6" w:rsidRPr="00286CF6">
        <w:rPr>
          <w:rFonts w:hint="eastAsia"/>
        </w:rPr>
        <w:t>ā</w:t>
      </w:r>
      <w:r w:rsidR="00286CF6" w:rsidRPr="00286CF6">
        <w:t xml:space="preserve"> tiek main</w:t>
      </w:r>
      <w:r w:rsidR="00286CF6" w:rsidRPr="00286CF6">
        <w:rPr>
          <w:rFonts w:hint="eastAsia"/>
        </w:rPr>
        <w:t>ī</w:t>
      </w:r>
      <w:r w:rsidR="00286CF6" w:rsidRPr="00286CF6">
        <w:t>ta no viegl</w:t>
      </w:r>
      <w:r w:rsidR="00286CF6" w:rsidRPr="00286CF6">
        <w:rPr>
          <w:rFonts w:hint="eastAsia"/>
        </w:rPr>
        <w:t>ā</w:t>
      </w:r>
      <w:r w:rsidR="00286CF6" w:rsidRPr="00286CF6">
        <w:t>kas uz smag</w:t>
      </w:r>
      <w:r w:rsidR="00286CF6" w:rsidRPr="00286CF6">
        <w:rPr>
          <w:rFonts w:hint="eastAsia"/>
        </w:rPr>
        <w:t>ā</w:t>
      </w:r>
      <w:r w:rsidR="00286CF6" w:rsidRPr="00286CF6">
        <w:t>ku (uz I vai II grupu)</w:t>
      </w:r>
      <w:r w:rsidR="00706361">
        <w:t xml:space="preserve"> – šādā gadījumā</w:t>
      </w:r>
      <w:r w:rsidR="00286CF6" w:rsidRPr="00286CF6">
        <w:t xml:space="preserve"> kred</w:t>
      </w:r>
      <w:r w:rsidR="00286CF6" w:rsidRPr="00286CF6">
        <w:rPr>
          <w:rFonts w:hint="eastAsia"/>
        </w:rPr>
        <w:t>ī</w:t>
      </w:r>
      <w:r w:rsidR="00286CF6" w:rsidRPr="00286CF6">
        <w:t>ta garantija sedz kred</w:t>
      </w:r>
      <w:r w:rsidR="00286CF6" w:rsidRPr="00286CF6">
        <w:rPr>
          <w:rFonts w:hint="eastAsia"/>
        </w:rPr>
        <w:t>ī</w:t>
      </w:r>
      <w:r w:rsidR="00286CF6" w:rsidRPr="00286CF6">
        <w:t>tu pamatsummas atlikumu un procentus par kred</w:t>
      </w:r>
      <w:r w:rsidR="00286CF6" w:rsidRPr="00286CF6">
        <w:rPr>
          <w:rFonts w:hint="eastAsia"/>
        </w:rPr>
        <w:t>ī</w:t>
      </w:r>
      <w:r w:rsidR="00286CF6" w:rsidRPr="00286CF6">
        <w:t>ta izmantošanu piln</w:t>
      </w:r>
      <w:r w:rsidR="00286CF6" w:rsidRPr="00286CF6">
        <w:rPr>
          <w:rFonts w:hint="eastAsia"/>
        </w:rPr>
        <w:t>ā</w:t>
      </w:r>
      <w:r w:rsidR="00286CF6" w:rsidRPr="00286CF6">
        <w:t xml:space="preserve"> apm</w:t>
      </w:r>
      <w:r w:rsidR="00286CF6" w:rsidRPr="00286CF6">
        <w:rPr>
          <w:rFonts w:hint="eastAsia"/>
        </w:rPr>
        <w:t>ē</w:t>
      </w:r>
      <w:r w:rsidR="00286CF6" w:rsidRPr="00286CF6">
        <w:t>r</w:t>
      </w:r>
      <w:r w:rsidR="00286CF6" w:rsidRPr="00286CF6">
        <w:rPr>
          <w:rFonts w:hint="eastAsia"/>
        </w:rPr>
        <w:t>ā</w:t>
      </w:r>
      <w:r w:rsidR="00286CF6" w:rsidRPr="00286CF6">
        <w:t>.</w:t>
      </w:r>
      <w:r w:rsidR="00096BFA" w:rsidRPr="00901D53">
        <w:t xml:space="preserve"> Finanšu pakalpojumu atmaksas periodā </w:t>
      </w:r>
      <w:r w:rsidR="00C97566" w:rsidRPr="00901D53">
        <w:t xml:space="preserve">Garantijas </w:t>
      </w:r>
      <w:r w:rsidR="006E6329">
        <w:t>likme</w:t>
      </w:r>
      <w:r w:rsidR="006E6329" w:rsidRPr="00901D53">
        <w:t xml:space="preserve"> </w:t>
      </w:r>
      <w:r w:rsidR="00C97566" w:rsidRPr="00901D53">
        <w:t>nemainās</w:t>
      </w:r>
      <w:r w:rsidR="00096BFA" w:rsidRPr="00901D53">
        <w:t xml:space="preserve"> un attiecas uz </w:t>
      </w:r>
      <w:r w:rsidR="00096BFA" w:rsidRPr="00EF684E">
        <w:t xml:space="preserve">neatmaksāto </w:t>
      </w:r>
      <w:r w:rsidR="00C97566" w:rsidRPr="00EF684E">
        <w:t xml:space="preserve">Finanšu pakalpojuma </w:t>
      </w:r>
      <w:r w:rsidR="00710745" w:rsidRPr="00EF684E">
        <w:t>pamat</w:t>
      </w:r>
      <w:r w:rsidR="00096BFA" w:rsidRPr="00EF684E">
        <w:t>summu</w:t>
      </w:r>
      <w:r w:rsidR="005B767E" w:rsidRPr="00EF684E">
        <w:t>.</w:t>
      </w:r>
    </w:p>
    <w:p w14:paraId="31718B04" w14:textId="0AC19EF4" w:rsidR="00096BFA" w:rsidRPr="00EF684E" w:rsidRDefault="005F4282" w:rsidP="00736A36">
      <w:pPr>
        <w:pStyle w:val="BodyText"/>
      </w:pPr>
      <w:r w:rsidRPr="004C72D2">
        <w:t>Finansētāja plānotā piešķiramo Finanšu pakalpojumu (t.i., noslēgto Finanšu pakalpojumu līgumu) kopsumma, norādot konkrētus periodus, ir noteikta Līguma speciālajos noteikumos (Pielikums Nr.1). Puses atzīst, ka Pielikuma Nr.1 5.punktā norādītā summa uzskatāma par Finanšu pakalpojumu kopsummas prognozi un tās pārsniegums vai nesasniegšana kādā no Līguma darbības gadiem atbilstoši Kredīta ņēmēju pieprasījumam nav uzskatāma par šī Līguma pārkāpumu</w:t>
      </w:r>
      <w:r w:rsidR="00096BFA" w:rsidRPr="00EF684E">
        <w:t xml:space="preserve">.  </w:t>
      </w:r>
    </w:p>
    <w:p w14:paraId="6BEEEE18" w14:textId="1749E315" w:rsidR="00096BFA" w:rsidRPr="00EF684E" w:rsidRDefault="00096BFA" w:rsidP="00736A36">
      <w:pPr>
        <w:pStyle w:val="BodyText"/>
      </w:pPr>
      <w:r w:rsidRPr="00EF684E">
        <w:t>Katr</w:t>
      </w:r>
      <w:r w:rsidR="00823694" w:rsidRPr="00EF684E">
        <w:t>u</w:t>
      </w:r>
      <w:r w:rsidRPr="00EF684E">
        <w:t xml:space="preserve"> Aizdevumu portfelī iekļaut</w:t>
      </w:r>
      <w:r w:rsidR="00823694" w:rsidRPr="00EF684E">
        <w:t>o</w:t>
      </w:r>
      <w:r w:rsidRPr="00EF684E">
        <w:t xml:space="preserve"> Finanšu pakalpojum</w:t>
      </w:r>
      <w:r w:rsidR="00823694" w:rsidRPr="00EF684E">
        <w:t xml:space="preserve">u </w:t>
      </w:r>
      <w:r w:rsidR="00A0114A">
        <w:t xml:space="preserve">līgumu </w:t>
      </w:r>
      <w:r w:rsidR="00823694" w:rsidRPr="00EF684E">
        <w:t>ALTUM</w:t>
      </w:r>
      <w:r w:rsidRPr="00EF684E">
        <w:t xml:space="preserve"> nodrošin</w:t>
      </w:r>
      <w:r w:rsidR="00823694" w:rsidRPr="00EF684E">
        <w:t>a</w:t>
      </w:r>
      <w:r w:rsidRPr="00EF684E">
        <w:t xml:space="preserve"> ar Garantiju</w:t>
      </w:r>
      <w:r w:rsidR="0032359A" w:rsidRPr="00EF684E">
        <w:t xml:space="preserve"> un tā stājas spēkā Finanšu pakalpojuma </w:t>
      </w:r>
      <w:r w:rsidR="007922C3">
        <w:t xml:space="preserve">izsniegšanas </w:t>
      </w:r>
      <w:r w:rsidR="0032359A" w:rsidRPr="00EF684E">
        <w:t>dien</w:t>
      </w:r>
      <w:r w:rsidR="002717A6" w:rsidRPr="00EF684E">
        <w:t>ā</w:t>
      </w:r>
      <w:r w:rsidR="006E5887" w:rsidRPr="00EF684E">
        <w:t xml:space="preserve">, ja </w:t>
      </w:r>
      <w:r w:rsidR="0095405C" w:rsidRPr="00EF684E">
        <w:t xml:space="preserve">Finansētājs, ņemot vērā Valsts Izglītības informācijas </w:t>
      </w:r>
      <w:r w:rsidR="00BE1B2D" w:rsidRPr="00EF684E">
        <w:t>sistēm</w:t>
      </w:r>
      <w:r w:rsidR="00BE1B2D">
        <w:t>as</w:t>
      </w:r>
      <w:r w:rsidR="00BE1B2D" w:rsidRPr="00EF684E">
        <w:t xml:space="preserve"> </w:t>
      </w:r>
      <w:r w:rsidR="0095405C" w:rsidRPr="00EF684E">
        <w:t xml:space="preserve">Studējošo un absolventu reģistrā pieejamo informāciju, ir piešķīris un </w:t>
      </w:r>
      <w:r w:rsidR="0034584B">
        <w:t>uzsācis izsniegt</w:t>
      </w:r>
      <w:r w:rsidR="0034584B" w:rsidRPr="00EF684E">
        <w:t xml:space="preserve"> </w:t>
      </w:r>
      <w:r w:rsidR="0095405C" w:rsidRPr="00EF684E">
        <w:t xml:space="preserve">Finanšu pakalpojumu atbilstoši </w:t>
      </w:r>
      <w:r w:rsidR="00D736D4" w:rsidRPr="00EF684E">
        <w:t>MK noteikumu</w:t>
      </w:r>
      <w:r w:rsidR="0095405C" w:rsidRPr="00EF684E">
        <w:t xml:space="preserve"> nosacījumiem</w:t>
      </w:r>
      <w:r w:rsidR="002D1E32">
        <w:t>,</w:t>
      </w:r>
      <w:r w:rsidR="002D1E32" w:rsidRPr="002D1E32">
        <w:t xml:space="preserve"> </w:t>
      </w:r>
      <w:r w:rsidR="002D1E32" w:rsidRPr="00E56973">
        <w:t>izņemot gadījumu, ja attiecībā uz nākamajām izsniedzamajām Finanšu pakalpojuma summām ALTUM informējis Finansētāju par valsts budžeta</w:t>
      </w:r>
      <w:r w:rsidR="003D1C3E">
        <w:t xml:space="preserve"> un starptautisko finanšu institūciju</w:t>
      </w:r>
      <w:r w:rsidR="002D1E32" w:rsidRPr="00E56973">
        <w:t xml:space="preserve"> </w:t>
      </w:r>
      <w:r w:rsidR="00C237E4">
        <w:t xml:space="preserve">līdzekļu </w:t>
      </w:r>
      <w:r w:rsidR="002D1E32" w:rsidRPr="00E56973">
        <w:t>finansējuma</w:t>
      </w:r>
      <w:r w:rsidR="000E0315" w:rsidRPr="000E0315">
        <w:t xml:space="preserve"> līdzekļiem</w:t>
      </w:r>
      <w:r w:rsidR="002D1E32" w:rsidRPr="00E56973">
        <w:t xml:space="preserve"> nepieejamību saskaņā ar līguma 1.8.punkta noteikumiem (šādā gadījumā Finanšu pakalpojumu līgumu ALTUM nodrošina ar Garantiju tikai attiecībā uz summām, kas izmaksātas līdz šāda paziņojuma nosūtīšanai)</w:t>
      </w:r>
      <w:r w:rsidR="0095405C" w:rsidRPr="00EF684E">
        <w:t>.</w:t>
      </w:r>
    </w:p>
    <w:p w14:paraId="001802B7" w14:textId="77777777" w:rsidR="00640BE2" w:rsidRPr="00EF684E" w:rsidRDefault="00EB27F8" w:rsidP="00736A36">
      <w:pPr>
        <w:pStyle w:val="BodyText"/>
      </w:pPr>
      <w:r w:rsidRPr="00EF684E">
        <w:t>V</w:t>
      </w:r>
      <w:r w:rsidR="00AE5508" w:rsidRPr="00EF684E">
        <w:t xml:space="preserve">isi </w:t>
      </w:r>
      <w:r w:rsidR="00705262" w:rsidRPr="00EF684E">
        <w:t xml:space="preserve">no </w:t>
      </w:r>
      <w:r w:rsidR="00096BFA" w:rsidRPr="00EF684E">
        <w:t>Līgum</w:t>
      </w:r>
      <w:r w:rsidR="00DD7BA7" w:rsidRPr="00EF684E">
        <w:t>a</w:t>
      </w:r>
      <w:r w:rsidR="00096BFA" w:rsidRPr="00EF684E">
        <w:t xml:space="preserve"> </w:t>
      </w:r>
      <w:r w:rsidR="00705262" w:rsidRPr="00EF684E">
        <w:t xml:space="preserve">izrietošie maksājumi </w:t>
      </w:r>
      <w:r w:rsidR="00096BFA" w:rsidRPr="00EF684E">
        <w:t xml:space="preserve">veicami </w:t>
      </w:r>
      <w:r w:rsidR="00096BFA" w:rsidRPr="00EF684E">
        <w:rPr>
          <w:i/>
          <w:iCs/>
        </w:rPr>
        <w:t>euro</w:t>
      </w:r>
      <w:r w:rsidR="00096BFA" w:rsidRPr="00EF684E">
        <w:t>.</w:t>
      </w:r>
    </w:p>
    <w:p w14:paraId="06665AF5" w14:textId="1AFEEFD5" w:rsidR="00640BE2" w:rsidRDefault="00640BE2" w:rsidP="00736A36">
      <w:pPr>
        <w:pStyle w:val="BodyText"/>
      </w:pPr>
      <w:r w:rsidRPr="00901D53">
        <w:t>Finansētājam nav tiesības veikt izmaiņas Finanšu pakalpojuma līgumā attiecībā uz Finansējuma pamatsummas apmēra palielināšanu, veicot procentu un/vai citu maksājumu kapitalizāciju.</w:t>
      </w:r>
    </w:p>
    <w:p w14:paraId="3A2F59E6" w14:textId="4CDEA66F" w:rsidR="002D1E32" w:rsidRPr="004250B4" w:rsidRDefault="002D1E32" w:rsidP="00736A36">
      <w:pPr>
        <w:pStyle w:val="BodyText"/>
      </w:pPr>
      <w:r w:rsidRPr="004250B4">
        <w:t>L</w:t>
      </w:r>
      <w:r w:rsidRPr="004250B4">
        <w:rPr>
          <w:rFonts w:hint="eastAsia"/>
        </w:rPr>
        <w:t>ī</w:t>
      </w:r>
      <w:r w:rsidRPr="004250B4">
        <w:t>dz katra gada 30.j</w:t>
      </w:r>
      <w:r w:rsidRPr="004250B4">
        <w:rPr>
          <w:rFonts w:hint="eastAsia"/>
        </w:rPr>
        <w:t>ū</w:t>
      </w:r>
      <w:r w:rsidRPr="004250B4">
        <w:t>nijam un 30.novembrim Finans</w:t>
      </w:r>
      <w:r w:rsidRPr="004250B4">
        <w:rPr>
          <w:rFonts w:hint="eastAsia"/>
        </w:rPr>
        <w:t>ē</w:t>
      </w:r>
      <w:r w:rsidRPr="004250B4">
        <w:t>t</w:t>
      </w:r>
      <w:r w:rsidRPr="004250B4">
        <w:rPr>
          <w:rFonts w:hint="eastAsia"/>
        </w:rPr>
        <w:t>ā</w:t>
      </w:r>
      <w:r w:rsidRPr="004250B4">
        <w:t xml:space="preserve">js </w:t>
      </w:r>
      <w:proofErr w:type="spellStart"/>
      <w:r w:rsidRPr="004250B4">
        <w:t>nos</w:t>
      </w:r>
      <w:r w:rsidRPr="004250B4">
        <w:rPr>
          <w:rFonts w:hint="eastAsia"/>
        </w:rPr>
        <w:t>ū</w:t>
      </w:r>
      <w:r w:rsidRPr="004250B4">
        <w:t>ta</w:t>
      </w:r>
      <w:proofErr w:type="spellEnd"/>
      <w:r w:rsidRPr="004250B4">
        <w:t xml:space="preserve"> </w:t>
      </w:r>
      <w:r w:rsidR="00452799" w:rsidRPr="004250B4">
        <w:t>ALTUM</w:t>
      </w:r>
      <w:r w:rsidRPr="004250B4">
        <w:t xml:space="preserve"> inform</w:t>
      </w:r>
      <w:r w:rsidRPr="004250B4">
        <w:rPr>
          <w:rFonts w:hint="eastAsia"/>
        </w:rPr>
        <w:t>ā</w:t>
      </w:r>
      <w:r w:rsidRPr="004250B4">
        <w:t>ciju par Aizdevumu portfe</w:t>
      </w:r>
      <w:r w:rsidRPr="004250B4">
        <w:rPr>
          <w:rFonts w:hint="eastAsia"/>
        </w:rPr>
        <w:t>ļ</w:t>
      </w:r>
      <w:r w:rsidRPr="004250B4">
        <w:t>a prognozi attiec</w:t>
      </w:r>
      <w:r w:rsidRPr="004250B4">
        <w:rPr>
          <w:rFonts w:hint="eastAsia"/>
        </w:rPr>
        <w:t>ī</w:t>
      </w:r>
      <w:r w:rsidRPr="004250B4">
        <w:t>b</w:t>
      </w:r>
      <w:r w:rsidRPr="004250B4">
        <w:rPr>
          <w:rFonts w:hint="eastAsia"/>
        </w:rPr>
        <w:t>ā</w:t>
      </w:r>
      <w:r w:rsidRPr="004250B4">
        <w:t xml:space="preserve"> uz visu iepriekš parakst</w:t>
      </w:r>
      <w:r w:rsidRPr="004250B4">
        <w:rPr>
          <w:rFonts w:hint="eastAsia"/>
        </w:rPr>
        <w:t>ī</w:t>
      </w:r>
      <w:r w:rsidRPr="004250B4">
        <w:t>to Finanšu pakalpojumu l</w:t>
      </w:r>
      <w:r w:rsidRPr="004250B4">
        <w:rPr>
          <w:rFonts w:hint="eastAsia"/>
        </w:rPr>
        <w:t>ī</w:t>
      </w:r>
      <w:r w:rsidRPr="004250B4">
        <w:t>gumu kopsummu, nor</w:t>
      </w:r>
      <w:r w:rsidRPr="004250B4">
        <w:rPr>
          <w:rFonts w:hint="eastAsia"/>
        </w:rPr>
        <w:t>ā</w:t>
      </w:r>
      <w:r w:rsidRPr="004250B4">
        <w:t>dot n</w:t>
      </w:r>
      <w:r w:rsidRPr="004250B4">
        <w:rPr>
          <w:rFonts w:hint="eastAsia"/>
        </w:rPr>
        <w:t>ā</w:t>
      </w:r>
      <w:r w:rsidRPr="004250B4">
        <w:t>kamajos gados paredz</w:t>
      </w:r>
      <w:r w:rsidRPr="004250B4">
        <w:rPr>
          <w:rFonts w:hint="eastAsia"/>
        </w:rPr>
        <w:t>ē</w:t>
      </w:r>
      <w:r w:rsidRPr="004250B4">
        <w:t>to izsniedzamo (izmaks</w:t>
      </w:r>
      <w:r w:rsidRPr="004250B4">
        <w:rPr>
          <w:rFonts w:hint="eastAsia"/>
        </w:rPr>
        <w:t>ā</w:t>
      </w:r>
      <w:r w:rsidRPr="004250B4">
        <w:t>jamo) Finanšu pakalpojumu kopsummu attiec</w:t>
      </w:r>
      <w:r w:rsidRPr="004250B4">
        <w:rPr>
          <w:rFonts w:hint="eastAsia"/>
        </w:rPr>
        <w:t>ī</w:t>
      </w:r>
      <w:r w:rsidRPr="004250B4">
        <w:t>b</w:t>
      </w:r>
      <w:r w:rsidRPr="004250B4">
        <w:rPr>
          <w:rFonts w:hint="eastAsia"/>
        </w:rPr>
        <w:t>ā</w:t>
      </w:r>
      <w:r w:rsidRPr="004250B4">
        <w:t xml:space="preserve"> uz jau parakst</w:t>
      </w:r>
      <w:r w:rsidRPr="004250B4">
        <w:rPr>
          <w:rFonts w:hint="eastAsia"/>
        </w:rPr>
        <w:t>ī</w:t>
      </w:r>
      <w:r w:rsidRPr="004250B4">
        <w:t>tajiem Finanšu pakalpojumu l</w:t>
      </w:r>
      <w:r w:rsidRPr="004250B4">
        <w:rPr>
          <w:rFonts w:hint="eastAsia"/>
        </w:rPr>
        <w:t>ī</w:t>
      </w:r>
      <w:r w:rsidRPr="004250B4">
        <w:t>gumiem. Aizdevuma portfe</w:t>
      </w:r>
      <w:r w:rsidRPr="004250B4">
        <w:rPr>
          <w:rFonts w:hint="eastAsia"/>
        </w:rPr>
        <w:t>ļ</w:t>
      </w:r>
      <w:r w:rsidRPr="004250B4">
        <w:t>a prognoze ir pamats Pus</w:t>
      </w:r>
      <w:r w:rsidRPr="004250B4">
        <w:rPr>
          <w:rFonts w:hint="eastAsia"/>
        </w:rPr>
        <w:t>ē</w:t>
      </w:r>
      <w:r w:rsidRPr="004250B4">
        <w:t>m veikt Maksim</w:t>
      </w:r>
      <w:r w:rsidRPr="004250B4">
        <w:rPr>
          <w:rFonts w:hint="eastAsia"/>
        </w:rPr>
        <w:t>ā</w:t>
      </w:r>
      <w:r w:rsidRPr="004250B4">
        <w:t>l</w:t>
      </w:r>
      <w:r w:rsidRPr="004250B4">
        <w:rPr>
          <w:rFonts w:hint="eastAsia"/>
        </w:rPr>
        <w:t>ā</w:t>
      </w:r>
      <w:r w:rsidRPr="004250B4">
        <w:t>s izsniedzam</w:t>
      </w:r>
      <w:r w:rsidRPr="004250B4">
        <w:rPr>
          <w:rFonts w:hint="eastAsia"/>
        </w:rPr>
        <w:t>ā</w:t>
      </w:r>
      <w:r w:rsidRPr="004250B4">
        <w:t>s Finanšu pakalpojumu summas apr</w:t>
      </w:r>
      <w:r w:rsidRPr="004250B4">
        <w:rPr>
          <w:rFonts w:hint="eastAsia"/>
        </w:rPr>
        <w:t>ēķ</w:t>
      </w:r>
      <w:r w:rsidRPr="004250B4">
        <w:t>inus attiec</w:t>
      </w:r>
      <w:r w:rsidRPr="004250B4">
        <w:rPr>
          <w:rFonts w:hint="eastAsia"/>
        </w:rPr>
        <w:t>ī</w:t>
      </w:r>
      <w:r w:rsidRPr="004250B4">
        <w:t>b</w:t>
      </w:r>
      <w:r w:rsidRPr="004250B4">
        <w:rPr>
          <w:rFonts w:hint="eastAsia"/>
        </w:rPr>
        <w:t>ā</w:t>
      </w:r>
      <w:r w:rsidRPr="004250B4">
        <w:t xml:space="preserve"> uz turpm</w:t>
      </w:r>
      <w:r w:rsidRPr="004250B4">
        <w:rPr>
          <w:rFonts w:hint="eastAsia"/>
        </w:rPr>
        <w:t>ā</w:t>
      </w:r>
      <w:r w:rsidRPr="004250B4">
        <w:t>ko L</w:t>
      </w:r>
      <w:r w:rsidRPr="004250B4">
        <w:rPr>
          <w:rFonts w:hint="eastAsia"/>
        </w:rPr>
        <w:t>ī</w:t>
      </w:r>
      <w:r w:rsidRPr="004250B4">
        <w:t>guma darb</w:t>
      </w:r>
      <w:r w:rsidRPr="004250B4">
        <w:rPr>
          <w:rFonts w:hint="eastAsia"/>
        </w:rPr>
        <w:t>ī</w:t>
      </w:r>
      <w:r w:rsidRPr="004250B4">
        <w:t>bas laiku, tom</w:t>
      </w:r>
      <w:r w:rsidRPr="004250B4">
        <w:rPr>
          <w:rFonts w:hint="eastAsia"/>
        </w:rPr>
        <w:t>ē</w:t>
      </w:r>
      <w:r w:rsidRPr="004250B4">
        <w:t>r gad</w:t>
      </w:r>
      <w:r w:rsidRPr="004250B4">
        <w:rPr>
          <w:rFonts w:hint="eastAsia"/>
        </w:rPr>
        <w:t>ī</w:t>
      </w:r>
      <w:r w:rsidRPr="004250B4">
        <w:t>jum</w:t>
      </w:r>
      <w:r w:rsidRPr="004250B4">
        <w:rPr>
          <w:rFonts w:hint="eastAsia"/>
        </w:rPr>
        <w:t>ā</w:t>
      </w:r>
      <w:r w:rsidRPr="004250B4">
        <w:t>, ja Aizdevumu portfe</w:t>
      </w:r>
      <w:r w:rsidRPr="004250B4">
        <w:rPr>
          <w:rFonts w:hint="eastAsia"/>
        </w:rPr>
        <w:t>ļ</w:t>
      </w:r>
      <w:r w:rsidRPr="004250B4">
        <w:t>a prognoze p</w:t>
      </w:r>
      <w:r w:rsidRPr="004250B4">
        <w:rPr>
          <w:rFonts w:hint="eastAsia"/>
        </w:rPr>
        <w:t>ā</w:t>
      </w:r>
      <w:r w:rsidRPr="004250B4">
        <w:t>rsniedz Maksim</w:t>
      </w:r>
      <w:r w:rsidRPr="004250B4">
        <w:rPr>
          <w:rFonts w:hint="eastAsia"/>
        </w:rPr>
        <w:t>ā</w:t>
      </w:r>
      <w:r w:rsidRPr="004250B4">
        <w:t>l</w:t>
      </w:r>
      <w:r w:rsidRPr="004250B4">
        <w:rPr>
          <w:rFonts w:hint="eastAsia"/>
        </w:rPr>
        <w:t>ā</w:t>
      </w:r>
      <w:r w:rsidRPr="004250B4">
        <w:t>s izsniedzam</w:t>
      </w:r>
      <w:r w:rsidRPr="004250B4">
        <w:rPr>
          <w:rFonts w:hint="eastAsia"/>
        </w:rPr>
        <w:t>ā</w:t>
      </w:r>
      <w:r w:rsidRPr="004250B4">
        <w:t>s Finanšu pakalpojumu summas apm</w:t>
      </w:r>
      <w:r w:rsidRPr="004250B4">
        <w:rPr>
          <w:rFonts w:hint="eastAsia"/>
        </w:rPr>
        <w:t>ē</w:t>
      </w:r>
      <w:r w:rsidRPr="004250B4">
        <w:t>ru, Finans</w:t>
      </w:r>
      <w:r w:rsidRPr="004250B4">
        <w:rPr>
          <w:rFonts w:hint="eastAsia"/>
        </w:rPr>
        <w:t>ē</w:t>
      </w:r>
      <w:r w:rsidRPr="004250B4">
        <w:t>t</w:t>
      </w:r>
      <w:r w:rsidRPr="004250B4">
        <w:rPr>
          <w:rFonts w:hint="eastAsia"/>
        </w:rPr>
        <w:t>ā</w:t>
      </w:r>
      <w:r w:rsidRPr="004250B4">
        <w:t>js ir ties</w:t>
      </w:r>
      <w:r w:rsidRPr="004250B4">
        <w:rPr>
          <w:rFonts w:hint="eastAsia"/>
        </w:rPr>
        <w:t>ī</w:t>
      </w:r>
      <w:r w:rsidRPr="004250B4">
        <w:t>gs izsniegt Finanšu pakalpojumus tikai l</w:t>
      </w:r>
      <w:r w:rsidRPr="004250B4">
        <w:rPr>
          <w:rFonts w:hint="eastAsia"/>
        </w:rPr>
        <w:t>ī</w:t>
      </w:r>
      <w:r w:rsidRPr="004250B4">
        <w:t>dz Pielikuma Nr.1 7.punkt</w:t>
      </w:r>
      <w:r w:rsidRPr="004250B4">
        <w:rPr>
          <w:rFonts w:hint="eastAsia"/>
        </w:rPr>
        <w:t>ā</w:t>
      </w:r>
      <w:r w:rsidRPr="004250B4">
        <w:t xml:space="preserve"> noteiktajam apm</w:t>
      </w:r>
      <w:r w:rsidRPr="004250B4">
        <w:rPr>
          <w:rFonts w:hint="eastAsia"/>
        </w:rPr>
        <w:t>ē</w:t>
      </w:r>
      <w:r w:rsidRPr="004250B4">
        <w:t>ram.</w:t>
      </w:r>
    </w:p>
    <w:p w14:paraId="1480BBDA" w14:textId="13AABF42" w:rsidR="002D1E32" w:rsidRPr="00901D53" w:rsidRDefault="002D1E32" w:rsidP="00736A36">
      <w:pPr>
        <w:pStyle w:val="BodyText"/>
      </w:pPr>
      <w:r w:rsidRPr="002D1E32">
        <w:t>L</w:t>
      </w:r>
      <w:r w:rsidRPr="002D1E32">
        <w:rPr>
          <w:rFonts w:hint="eastAsia"/>
        </w:rPr>
        <w:t>ī</w:t>
      </w:r>
      <w:r w:rsidRPr="002D1E32">
        <w:t>dz Atbilst</w:t>
      </w:r>
      <w:r w:rsidRPr="002D1E32">
        <w:rPr>
          <w:rFonts w:hint="eastAsia"/>
        </w:rPr>
        <w:t>ī</w:t>
      </w:r>
      <w:r w:rsidRPr="002D1E32">
        <w:t>bas perioda beig</w:t>
      </w:r>
      <w:r w:rsidRPr="002D1E32">
        <w:rPr>
          <w:rFonts w:hint="eastAsia"/>
        </w:rPr>
        <w:t>ā</w:t>
      </w:r>
      <w:r w:rsidRPr="002D1E32">
        <w:t>m Finans</w:t>
      </w:r>
      <w:r w:rsidRPr="002D1E32">
        <w:rPr>
          <w:rFonts w:hint="eastAsia"/>
        </w:rPr>
        <w:t>ē</w:t>
      </w:r>
      <w:r w:rsidRPr="002D1E32">
        <w:t>t</w:t>
      </w:r>
      <w:r w:rsidRPr="002D1E32">
        <w:rPr>
          <w:rFonts w:hint="eastAsia"/>
        </w:rPr>
        <w:t>ā</w:t>
      </w:r>
      <w:r w:rsidRPr="002D1E32">
        <w:t>js Aizdevumu portfe</w:t>
      </w:r>
      <w:r w:rsidRPr="002D1E32">
        <w:rPr>
          <w:rFonts w:hint="eastAsia"/>
        </w:rPr>
        <w:t>ļ</w:t>
      </w:r>
      <w:r w:rsidRPr="002D1E32">
        <w:t>a prognoz</w:t>
      </w:r>
      <w:r w:rsidRPr="002D1E32">
        <w:rPr>
          <w:rFonts w:hint="eastAsia"/>
        </w:rPr>
        <w:t>ē</w:t>
      </w:r>
      <w:r w:rsidRPr="002D1E32">
        <w:t xml:space="preserve"> iek</w:t>
      </w:r>
      <w:r w:rsidRPr="002D1E32">
        <w:rPr>
          <w:rFonts w:hint="eastAsia"/>
        </w:rPr>
        <w:t>ļ</w:t>
      </w:r>
      <w:r w:rsidRPr="002D1E32">
        <w:t>auj ar</w:t>
      </w:r>
      <w:r w:rsidRPr="002D1E32">
        <w:rPr>
          <w:rFonts w:hint="eastAsia"/>
        </w:rPr>
        <w:t>ī</w:t>
      </w:r>
      <w:r w:rsidRPr="002D1E32">
        <w:t xml:space="preserve"> pl</w:t>
      </w:r>
      <w:r w:rsidRPr="002D1E32">
        <w:rPr>
          <w:rFonts w:hint="eastAsia"/>
        </w:rPr>
        <w:t>ā</w:t>
      </w:r>
      <w:r w:rsidRPr="002D1E32">
        <w:t>notos attiec</w:t>
      </w:r>
      <w:r w:rsidRPr="002D1E32">
        <w:rPr>
          <w:rFonts w:hint="eastAsia"/>
        </w:rPr>
        <w:t>ī</w:t>
      </w:r>
      <w:r w:rsidRPr="002D1E32">
        <w:t>gaj</w:t>
      </w:r>
      <w:r w:rsidRPr="002D1E32">
        <w:rPr>
          <w:rFonts w:hint="eastAsia"/>
        </w:rPr>
        <w:t>ā</w:t>
      </w:r>
      <w:r w:rsidRPr="002D1E32">
        <w:t xml:space="preserve"> gad</w:t>
      </w:r>
      <w:r w:rsidRPr="002D1E32">
        <w:rPr>
          <w:rFonts w:hint="eastAsia"/>
        </w:rPr>
        <w:t>ā</w:t>
      </w:r>
      <w:r w:rsidRPr="002D1E32">
        <w:t xml:space="preserve"> no jauna pieš</w:t>
      </w:r>
      <w:r w:rsidRPr="002D1E32">
        <w:rPr>
          <w:rFonts w:hint="eastAsia"/>
        </w:rPr>
        <w:t>ķ</w:t>
      </w:r>
      <w:r w:rsidRPr="002D1E32">
        <w:t>iramos (parakst</w:t>
      </w:r>
      <w:r w:rsidRPr="002D1E32">
        <w:rPr>
          <w:rFonts w:hint="eastAsia"/>
        </w:rPr>
        <w:t>ā</w:t>
      </w:r>
      <w:r w:rsidRPr="002D1E32">
        <w:t>mos) Finanšu pakalpojumus, izdarot pie</w:t>
      </w:r>
      <w:r w:rsidRPr="002D1E32">
        <w:rPr>
          <w:rFonts w:hint="eastAsia"/>
        </w:rPr>
        <w:t>ņē</w:t>
      </w:r>
      <w:r w:rsidRPr="002D1E32">
        <w:t>mumus, ka š</w:t>
      </w:r>
      <w:r w:rsidRPr="002D1E32">
        <w:rPr>
          <w:rFonts w:hint="eastAsia"/>
        </w:rPr>
        <w:t>ā</w:t>
      </w:r>
      <w:r w:rsidRPr="002D1E32">
        <w:t>du Finanšu pakalpojumu izsniegšanas (izmaks</w:t>
      </w:r>
      <w:r w:rsidRPr="002D1E32">
        <w:rPr>
          <w:rFonts w:hint="eastAsia"/>
        </w:rPr>
        <w:t>āš</w:t>
      </w:r>
      <w:r w:rsidRPr="002D1E32">
        <w:t>anas) regularit</w:t>
      </w:r>
      <w:r w:rsidRPr="002D1E32">
        <w:rPr>
          <w:rFonts w:hint="eastAsia"/>
        </w:rPr>
        <w:t>ā</w:t>
      </w:r>
      <w:r w:rsidRPr="002D1E32">
        <w:t>te un proporcijas b</w:t>
      </w:r>
      <w:r w:rsidRPr="002D1E32">
        <w:rPr>
          <w:rFonts w:hint="eastAsia"/>
        </w:rPr>
        <w:t>ū</w:t>
      </w:r>
      <w:r w:rsidRPr="002D1E32">
        <w:t>s atbilstošas iepriekš</w:t>
      </w:r>
      <w:r w:rsidRPr="002D1E32">
        <w:rPr>
          <w:rFonts w:hint="eastAsia"/>
        </w:rPr>
        <w:t>ē</w:t>
      </w:r>
      <w:r w:rsidRPr="002D1E32">
        <w:t>j</w:t>
      </w:r>
      <w:r w:rsidRPr="002D1E32">
        <w:rPr>
          <w:rFonts w:hint="eastAsia"/>
        </w:rPr>
        <w:t>ā</w:t>
      </w:r>
      <w:r w:rsidRPr="002D1E32">
        <w:t xml:space="preserve"> (-</w:t>
      </w:r>
      <w:proofErr w:type="spellStart"/>
      <w:r w:rsidRPr="002D1E32">
        <w:t>os</w:t>
      </w:r>
      <w:proofErr w:type="spellEnd"/>
      <w:r w:rsidRPr="002D1E32">
        <w:t>) gad</w:t>
      </w:r>
      <w:r w:rsidRPr="002D1E32">
        <w:rPr>
          <w:rFonts w:hint="eastAsia"/>
        </w:rPr>
        <w:t>ā</w:t>
      </w:r>
      <w:r w:rsidRPr="002D1E32">
        <w:t xml:space="preserve"> (-</w:t>
      </w:r>
      <w:proofErr w:type="spellStart"/>
      <w:r w:rsidRPr="002D1E32">
        <w:t>os</w:t>
      </w:r>
      <w:proofErr w:type="spellEnd"/>
      <w:r w:rsidRPr="002D1E32">
        <w:t>) pieš</w:t>
      </w:r>
      <w:r w:rsidRPr="002D1E32">
        <w:rPr>
          <w:rFonts w:hint="eastAsia"/>
        </w:rPr>
        <w:t>ķ</w:t>
      </w:r>
      <w:r w:rsidRPr="002D1E32">
        <w:t>irto Aizdevumu portfe</w:t>
      </w:r>
      <w:r w:rsidRPr="002D1E32">
        <w:rPr>
          <w:rFonts w:hint="eastAsia"/>
        </w:rPr>
        <w:t>ļ</w:t>
      </w:r>
      <w:r w:rsidRPr="002D1E32">
        <w:t>a prognozei. P</w:t>
      </w:r>
      <w:r w:rsidRPr="002D1E32">
        <w:rPr>
          <w:rFonts w:hint="eastAsia"/>
        </w:rPr>
        <w:t>ē</w:t>
      </w:r>
      <w:r w:rsidRPr="002D1E32">
        <w:t>c Atbilst</w:t>
      </w:r>
      <w:r w:rsidRPr="002D1E32">
        <w:rPr>
          <w:rFonts w:hint="eastAsia"/>
        </w:rPr>
        <w:t>ī</w:t>
      </w:r>
      <w:r w:rsidRPr="002D1E32">
        <w:t>bas perioda beig</w:t>
      </w:r>
      <w:r w:rsidRPr="002D1E32">
        <w:rPr>
          <w:rFonts w:hint="eastAsia"/>
        </w:rPr>
        <w:t>ā</w:t>
      </w:r>
      <w:r w:rsidRPr="002D1E32">
        <w:t>m Finans</w:t>
      </w:r>
      <w:r w:rsidRPr="002D1E32">
        <w:rPr>
          <w:rFonts w:hint="eastAsia"/>
        </w:rPr>
        <w:t>ē</w:t>
      </w:r>
      <w:r w:rsidRPr="002D1E32">
        <w:t>t</w:t>
      </w:r>
      <w:r w:rsidRPr="002D1E32">
        <w:rPr>
          <w:rFonts w:hint="eastAsia"/>
        </w:rPr>
        <w:t>ā</w:t>
      </w:r>
      <w:r w:rsidRPr="002D1E32">
        <w:t>js Aizdevuma portfe</w:t>
      </w:r>
      <w:r w:rsidRPr="002D1E32">
        <w:rPr>
          <w:rFonts w:hint="eastAsia"/>
        </w:rPr>
        <w:t>ļ</w:t>
      </w:r>
      <w:r w:rsidRPr="002D1E32">
        <w:t>a prognoz</w:t>
      </w:r>
      <w:r w:rsidRPr="002D1E32">
        <w:rPr>
          <w:rFonts w:hint="eastAsia"/>
        </w:rPr>
        <w:t>ē</w:t>
      </w:r>
      <w:r w:rsidRPr="002D1E32">
        <w:t xml:space="preserve"> iek</w:t>
      </w:r>
      <w:r w:rsidRPr="002D1E32">
        <w:rPr>
          <w:rFonts w:hint="eastAsia"/>
        </w:rPr>
        <w:t>ļ</w:t>
      </w:r>
      <w:r w:rsidRPr="002D1E32">
        <w:t>auj tikai jau pieš</w:t>
      </w:r>
      <w:r w:rsidRPr="002D1E32">
        <w:rPr>
          <w:rFonts w:hint="eastAsia"/>
        </w:rPr>
        <w:t>ķ</w:t>
      </w:r>
      <w:r w:rsidRPr="002D1E32">
        <w:t>irto (parakst</w:t>
      </w:r>
      <w:r w:rsidRPr="002D1E32">
        <w:rPr>
          <w:rFonts w:hint="eastAsia"/>
        </w:rPr>
        <w:t>ī</w:t>
      </w:r>
      <w:r w:rsidRPr="002D1E32">
        <w:t>to) Finanšu pakalpojumu izmaks</w:t>
      </w:r>
      <w:r w:rsidRPr="002D1E32">
        <w:rPr>
          <w:rFonts w:hint="eastAsia"/>
        </w:rPr>
        <w:t>āš</w:t>
      </w:r>
      <w:r w:rsidRPr="002D1E32">
        <w:t>anai nepieciešam</w:t>
      </w:r>
      <w:r w:rsidRPr="002D1E32">
        <w:rPr>
          <w:rFonts w:hint="eastAsia"/>
        </w:rPr>
        <w:t>ā</w:t>
      </w:r>
      <w:r w:rsidRPr="002D1E32">
        <w:t>s summas.</w:t>
      </w:r>
    </w:p>
    <w:p w14:paraId="4222020C" w14:textId="77777777" w:rsidR="002B7934" w:rsidRPr="00901D53" w:rsidRDefault="002B7934" w:rsidP="00736A36">
      <w:pPr>
        <w:pStyle w:val="BodyText"/>
        <w:numPr>
          <w:ilvl w:val="0"/>
          <w:numId w:val="0"/>
        </w:numPr>
        <w:ind w:left="720"/>
      </w:pPr>
    </w:p>
    <w:p w14:paraId="2DB55616" w14:textId="6968B80A" w:rsidR="00463370" w:rsidRPr="00901D53" w:rsidRDefault="00463370" w:rsidP="000E7342">
      <w:pPr>
        <w:pStyle w:val="NoSpacing"/>
        <w:numPr>
          <w:ilvl w:val="0"/>
          <w:numId w:val="14"/>
        </w:numPr>
        <w:jc w:val="both"/>
        <w:rPr>
          <w:rFonts w:ascii="Times New Roman" w:hAnsi="Times New Roman"/>
          <w:b/>
        </w:rPr>
      </w:pPr>
      <w:bookmarkStart w:id="5" w:name="_Ref497143824"/>
      <w:r w:rsidRPr="00901D53">
        <w:rPr>
          <w:rFonts w:ascii="Times New Roman" w:hAnsi="Times New Roman"/>
          <w:b/>
        </w:rPr>
        <w:t>Finanšu pakalpojumu sniegšanas noteikumi</w:t>
      </w:r>
      <w:bookmarkEnd w:id="5"/>
    </w:p>
    <w:p w14:paraId="20B447A9" w14:textId="75BB2927" w:rsidR="00463370" w:rsidRDefault="00463370" w:rsidP="00736A36">
      <w:pPr>
        <w:pStyle w:val="BodyText"/>
      </w:pPr>
      <w:r w:rsidRPr="00901D53">
        <w:t>Finanšu pakalpojuma</w:t>
      </w:r>
      <w:r w:rsidR="00A0114A">
        <w:t xml:space="preserve"> līguma</w:t>
      </w:r>
      <w:r w:rsidRPr="00901D53">
        <w:t>m, kurš tiek iekļauts Aizdevumu portfelī</w:t>
      </w:r>
      <w:r w:rsidRPr="00EF684E">
        <w:t xml:space="preserve">, </w:t>
      </w:r>
      <w:r w:rsidR="00C458FD" w:rsidRPr="00EF684E">
        <w:t xml:space="preserve">piešķiršanas brīdī </w:t>
      </w:r>
      <w:r w:rsidR="00434B6D">
        <w:t>jā</w:t>
      </w:r>
      <w:r w:rsidRPr="00EF684E">
        <w:t xml:space="preserve">atbilst šādiem </w:t>
      </w:r>
      <w:r w:rsidR="0034055F" w:rsidRPr="00EF684E">
        <w:t xml:space="preserve">MK noteikumu </w:t>
      </w:r>
      <w:r w:rsidRPr="00EF684E">
        <w:t>nosacījumiem:</w:t>
      </w:r>
    </w:p>
    <w:p w14:paraId="3F2DE4AD" w14:textId="0235DCD2" w:rsidR="00463370" w:rsidRDefault="00463370" w:rsidP="0090496A">
      <w:pPr>
        <w:pStyle w:val="BodyText"/>
        <w:numPr>
          <w:ilvl w:val="2"/>
          <w:numId w:val="14"/>
        </w:numPr>
      </w:pPr>
      <w:bookmarkStart w:id="6" w:name="_Ref501548262"/>
      <w:r w:rsidRPr="00FA7FB5">
        <w:t xml:space="preserve">Finanšu pakalpojums </w:t>
      </w:r>
      <w:r w:rsidR="0034584B">
        <w:t>tiek</w:t>
      </w:r>
      <w:r w:rsidR="0034584B" w:rsidRPr="00FA7FB5">
        <w:t xml:space="preserve"> </w:t>
      </w:r>
      <w:r w:rsidR="002717A6" w:rsidRPr="00FA7FB5">
        <w:t xml:space="preserve">piešķirts </w:t>
      </w:r>
      <w:r w:rsidR="000345FC" w:rsidRPr="00FA7FB5">
        <w:t>Kredīta ņēmējam</w:t>
      </w:r>
      <w:r w:rsidRPr="00FA7FB5">
        <w:t>, kurš atbilst Līguma</w:t>
      </w:r>
      <w:r w:rsidR="0034055F" w:rsidRPr="00FA7FB5">
        <w:t xml:space="preserve"> </w:t>
      </w:r>
      <w:r w:rsidR="0034055F" w:rsidRPr="00FA7FB5">
        <w:fldChar w:fldCharType="begin"/>
      </w:r>
      <w:r w:rsidR="0034055F" w:rsidRPr="00FA7FB5">
        <w:instrText xml:space="preserve"> REF _Ref44307653 \r \h </w:instrText>
      </w:r>
      <w:r w:rsidR="00FA7FB5" w:rsidRPr="00FA7FB5">
        <w:instrText xml:space="preserve"> \* MERGEFORMAT </w:instrText>
      </w:r>
      <w:r w:rsidR="0034055F" w:rsidRPr="00FA7FB5">
        <w:fldChar w:fldCharType="separate"/>
      </w:r>
      <w:r w:rsidR="00C579AC">
        <w:t>1.17</w:t>
      </w:r>
      <w:r w:rsidR="0034055F" w:rsidRPr="00FA7FB5">
        <w:fldChar w:fldCharType="end"/>
      </w:r>
      <w:r w:rsidRPr="00FA7FB5">
        <w:t>.punktā noteiktajai definīcijai;</w:t>
      </w:r>
      <w:bookmarkEnd w:id="6"/>
      <w:r w:rsidRPr="00FA7FB5">
        <w:t xml:space="preserve"> </w:t>
      </w:r>
    </w:p>
    <w:p w14:paraId="5F89767B" w14:textId="4875C4B0" w:rsidR="009F549D" w:rsidRDefault="005B4856" w:rsidP="0090496A">
      <w:pPr>
        <w:pStyle w:val="BodyText"/>
        <w:numPr>
          <w:ilvl w:val="2"/>
          <w:numId w:val="14"/>
        </w:numPr>
      </w:pPr>
      <w:r w:rsidRPr="005B4856">
        <w:t xml:space="preserve">Kredīta ņēmēja kredītspējas izvērtēšanas procesā, lai noteiktu Kredīta ņēmēja atbilstību MK noteikumu 20.punkta prasībām attiecībā uz ienākumiem un esošām saistībām vai parādiem, Finansētājs ievēro kritērijus un principus, kādi norādīti Finansētāja piedāvājumā (Līguma pielikums Nr.2). Proti, Kredīta ņēmēja ienākumi netiek izvērtēti, attiecībā uz Kredīta ņēmēju nedrīkst būt ieraksti Latvijas Bankas Kredītu reģistrā, </w:t>
      </w:r>
      <w:proofErr w:type="spellStart"/>
      <w:r w:rsidRPr="005B4856">
        <w:t>Creditreform</w:t>
      </w:r>
      <w:proofErr w:type="spellEnd"/>
      <w:r w:rsidRPr="005B4856">
        <w:t xml:space="preserve">, </w:t>
      </w:r>
      <w:proofErr w:type="spellStart"/>
      <w:r w:rsidRPr="005B4856">
        <w:t>PausConsults</w:t>
      </w:r>
      <w:proofErr w:type="spellEnd"/>
      <w:r w:rsidRPr="005B4856">
        <w:t xml:space="preserve">, KIB datu bāzēs par aktīvu parādu esamību, Kredīta ņēmējam nedrīkst būt kavējumi par saistībām </w:t>
      </w:r>
      <w:r w:rsidR="004250B4">
        <w:t>Finansētāja</w:t>
      </w:r>
      <w:r w:rsidR="004250B4" w:rsidRPr="005B4856">
        <w:t xml:space="preserve"> </w:t>
      </w:r>
      <w:r w:rsidRPr="005B4856">
        <w:t xml:space="preserve">grupā, Kredīta ņēmējam jābūt ilgtspējīgai finanšu situācijai, netiek izvērtēts esošu kredīta saistību apmērs un esamība. Finansētājs ir tiesīgs piemērot izņēmumu no šajā punktā uzskaitītajiem kritērijiem, ja Finansētāja rīcībā esošā </w:t>
      </w:r>
      <w:r w:rsidRPr="005B4856">
        <w:lastRenderedPageBreak/>
        <w:t>informācija par Kredīta ņēmēju ļauj izdarīt secinājumu, ka konstatētie apstākļi neapgrūtinās Kredīta ņēmēja spējas atmaksāt kredītu</w:t>
      </w:r>
      <w:r w:rsidR="00941728">
        <w:t xml:space="preserve">; </w:t>
      </w:r>
      <w:r w:rsidR="000479E5">
        <w:t xml:space="preserve"> </w:t>
      </w:r>
    </w:p>
    <w:p w14:paraId="5DB943C7" w14:textId="5D5973E9" w:rsidR="0034584B" w:rsidRPr="00D66C46" w:rsidRDefault="0034584B" w:rsidP="00736A36">
      <w:pPr>
        <w:pStyle w:val="BodyText"/>
      </w:pPr>
      <w:r>
        <w:t xml:space="preserve">Prasības attiecībā uz </w:t>
      </w:r>
      <w:r w:rsidRPr="00D66C46">
        <w:rPr>
          <w:b/>
        </w:rPr>
        <w:t>studiju</w:t>
      </w:r>
      <w:r>
        <w:t xml:space="preserve"> kredītiem:</w:t>
      </w:r>
    </w:p>
    <w:p w14:paraId="7930083D" w14:textId="6280A387" w:rsidR="00F12D5F" w:rsidRPr="00901D53" w:rsidRDefault="0003079A" w:rsidP="0090496A">
      <w:pPr>
        <w:pStyle w:val="BodyText"/>
        <w:numPr>
          <w:ilvl w:val="2"/>
          <w:numId w:val="14"/>
        </w:numPr>
      </w:pPr>
      <w:r w:rsidRPr="00901D53">
        <w:rPr>
          <w:shd w:val="clear" w:color="auto" w:fill="FFFFFF"/>
        </w:rPr>
        <w:t>studiju kredīt</w:t>
      </w:r>
      <w:r w:rsidR="009F0FA1" w:rsidRPr="00901D53">
        <w:rPr>
          <w:shd w:val="clear" w:color="auto" w:fill="FFFFFF"/>
        </w:rPr>
        <w:t xml:space="preserve">s </w:t>
      </w:r>
      <w:r w:rsidRPr="00901D53">
        <w:rPr>
          <w:shd w:val="clear" w:color="auto" w:fill="FFFFFF"/>
        </w:rPr>
        <w:t>vienlaikus</w:t>
      </w:r>
      <w:r w:rsidR="009B3B50">
        <w:rPr>
          <w:shd w:val="clear" w:color="auto" w:fill="FFFFFF"/>
        </w:rPr>
        <w:t xml:space="preserve"> tiek</w:t>
      </w:r>
      <w:r w:rsidRPr="00901D53">
        <w:rPr>
          <w:shd w:val="clear" w:color="auto" w:fill="FFFFFF"/>
        </w:rPr>
        <w:t xml:space="preserve"> piešķirt</w:t>
      </w:r>
      <w:r w:rsidR="009F0FA1" w:rsidRPr="00901D53">
        <w:rPr>
          <w:shd w:val="clear" w:color="auto" w:fill="FFFFFF"/>
        </w:rPr>
        <w:t>s</w:t>
      </w:r>
      <w:r w:rsidRPr="00901D53">
        <w:rPr>
          <w:shd w:val="clear" w:color="auto" w:fill="FFFFFF"/>
        </w:rPr>
        <w:t xml:space="preserve"> vienas studiju programmas apguvei</w:t>
      </w:r>
      <w:r w:rsidR="00F12D5F" w:rsidRPr="00901D53">
        <w:t>;</w:t>
      </w:r>
    </w:p>
    <w:p w14:paraId="74470478" w14:textId="7C0E59D1" w:rsidR="009B3B50" w:rsidRDefault="0003079A" w:rsidP="0090496A">
      <w:pPr>
        <w:pStyle w:val="BodyText"/>
        <w:numPr>
          <w:ilvl w:val="2"/>
          <w:numId w:val="14"/>
        </w:numPr>
      </w:pPr>
      <w:r w:rsidRPr="009B3B50">
        <w:rPr>
          <w:shd w:val="clear" w:color="auto" w:fill="FFFFFF"/>
        </w:rPr>
        <w:t>studiju kredīta apmērs vienam studējošam nepārsniedz augstskolas noteikto maksu par studijām</w:t>
      </w:r>
      <w:r w:rsidR="0034584B" w:rsidRPr="009B3B50">
        <w:rPr>
          <w:shd w:val="clear" w:color="auto" w:fill="FFFFFF"/>
        </w:rPr>
        <w:t>, kāda norādīta Valsts izglītības informācijas sistēmā</w:t>
      </w:r>
      <w:r w:rsidR="00F12D5F" w:rsidRPr="00901D53">
        <w:t>;</w:t>
      </w:r>
    </w:p>
    <w:p w14:paraId="78929A14" w14:textId="4D9896B8" w:rsidR="009B3B50" w:rsidRDefault="00C3366B" w:rsidP="0090496A">
      <w:pPr>
        <w:pStyle w:val="BodyText"/>
        <w:numPr>
          <w:ilvl w:val="2"/>
          <w:numId w:val="14"/>
        </w:numPr>
      </w:pPr>
      <w:r>
        <w:t xml:space="preserve">ja </w:t>
      </w:r>
      <w:r w:rsidR="009B3B50" w:rsidRPr="00901D53">
        <w:t xml:space="preserve">studiju kredīts </w:t>
      </w:r>
      <w:r>
        <w:t>tiek</w:t>
      </w:r>
      <w:r w:rsidR="009B3B50" w:rsidRPr="00901D53">
        <w:t xml:space="preserve"> izsniegts secīgai pirmā līmeņa profesionālās augstākās izglītības, bakalaura, otrā līmeņa profesionālās augstākās izglītības, maģistra un doktorantūras studiju programmas apgūšanai</w:t>
      </w:r>
      <w:r>
        <w:t xml:space="preserve">, </w:t>
      </w:r>
      <w:r w:rsidR="00364E9C">
        <w:t xml:space="preserve">iepriekš saņemtā studiju kredīta </w:t>
      </w:r>
      <w:r w:rsidR="009B3B50" w:rsidRPr="00901D53">
        <w:t xml:space="preserve">  atmaksa tiek atlikta saskaņā ar MK noteikumu 43. punktu;</w:t>
      </w:r>
    </w:p>
    <w:p w14:paraId="1F7E0360" w14:textId="71DAEAFB" w:rsidR="009B3B50" w:rsidRPr="00901D53" w:rsidRDefault="0012403C" w:rsidP="00B56149">
      <w:pPr>
        <w:pStyle w:val="BodyText"/>
        <w:numPr>
          <w:ilvl w:val="2"/>
          <w:numId w:val="14"/>
        </w:numPr>
      </w:pPr>
      <w:r>
        <w:t xml:space="preserve">ja </w:t>
      </w:r>
      <w:r w:rsidR="00C17C08" w:rsidRPr="00901D53">
        <w:t>studiju kredīt</w:t>
      </w:r>
      <w:r>
        <w:t>s tiek</w:t>
      </w:r>
      <w:r w:rsidR="00C17C08" w:rsidRPr="00901D53">
        <w:t xml:space="preserve"> izsniegt</w:t>
      </w:r>
      <w:r>
        <w:t>s</w:t>
      </w:r>
      <w:r w:rsidR="00C17C08" w:rsidRPr="00901D53">
        <w:t xml:space="preserve"> atkārtoti tā paša studiju līmeņa programmas apgūšanai, </w:t>
      </w:r>
      <w:r w:rsidR="00C3366B">
        <w:t xml:space="preserve">iepriekš saņemtais studiju kredīts tiek atmaksāts </w:t>
      </w:r>
      <w:r w:rsidR="00C17C08" w:rsidRPr="00901D53">
        <w:t>saskaņā ar MK noteikumu 42. punktu</w:t>
      </w:r>
      <w:r w:rsidR="00BE1B2D">
        <w:t>.</w:t>
      </w:r>
    </w:p>
    <w:p w14:paraId="406D3DEE" w14:textId="3226536D" w:rsidR="0034584B" w:rsidRDefault="0034584B" w:rsidP="00736A36">
      <w:pPr>
        <w:pStyle w:val="BodyText"/>
      </w:pPr>
      <w:r>
        <w:t xml:space="preserve">prasības attiecībā uz </w:t>
      </w:r>
      <w:r w:rsidRPr="00D66C46">
        <w:rPr>
          <w:b/>
        </w:rPr>
        <w:t>studējošā</w:t>
      </w:r>
      <w:r>
        <w:t xml:space="preserve"> kredītiem:</w:t>
      </w:r>
    </w:p>
    <w:p w14:paraId="24103CAC" w14:textId="76758CBA" w:rsidR="00F1312A" w:rsidRPr="00901D53" w:rsidRDefault="0003079A" w:rsidP="006D5DB5">
      <w:pPr>
        <w:pStyle w:val="BodyText"/>
        <w:numPr>
          <w:ilvl w:val="2"/>
          <w:numId w:val="14"/>
        </w:numPr>
      </w:pPr>
      <w:r w:rsidRPr="00901D53">
        <w:t xml:space="preserve">vienas studiju programmas apgūšanas laikā vienlaikus </w:t>
      </w:r>
      <w:r w:rsidR="009B3B50">
        <w:t>tiek</w:t>
      </w:r>
      <w:r w:rsidR="009B3B50" w:rsidRPr="00901D53">
        <w:t xml:space="preserve"> </w:t>
      </w:r>
      <w:r w:rsidRPr="00901D53">
        <w:t>piešķirt</w:t>
      </w:r>
      <w:r w:rsidR="009F0FA1" w:rsidRPr="00901D53">
        <w:t>s</w:t>
      </w:r>
      <w:r w:rsidRPr="00901D53">
        <w:t xml:space="preserve"> vien</w:t>
      </w:r>
      <w:r w:rsidR="009F0FA1" w:rsidRPr="00901D53">
        <w:t>s</w:t>
      </w:r>
      <w:r w:rsidRPr="00901D53">
        <w:t xml:space="preserve"> studējošā kredīt</w:t>
      </w:r>
      <w:r w:rsidR="009F0FA1" w:rsidRPr="00901D53">
        <w:t>s</w:t>
      </w:r>
      <w:r w:rsidR="00F1312A" w:rsidRPr="00901D53">
        <w:t>;</w:t>
      </w:r>
    </w:p>
    <w:p w14:paraId="1DF44BA8" w14:textId="525C358A" w:rsidR="00F1312A" w:rsidRPr="00901D53" w:rsidRDefault="004B1D07" w:rsidP="006D5DB5">
      <w:pPr>
        <w:pStyle w:val="BodyText"/>
        <w:numPr>
          <w:ilvl w:val="2"/>
          <w:numId w:val="14"/>
        </w:numPr>
      </w:pPr>
      <w:r>
        <w:t>s</w:t>
      </w:r>
      <w:r w:rsidR="00A02FFE">
        <w:t>t</w:t>
      </w:r>
      <w:r w:rsidRPr="004B1D07">
        <w:t xml:space="preserve">udējošā kredīta apmērs vienam studējošam mēnesī nepārsniedz 350 euro. Studējošā kredīta apmēru mēnesī var palielināt </w:t>
      </w:r>
      <w:r w:rsidR="004D2A14">
        <w:t>Finanšu pakalpojuma līguma</w:t>
      </w:r>
      <w:r w:rsidRPr="004B1D07">
        <w:t xml:space="preserve"> darbības laikā, ja sākotnēji tas bijis mazāks par šajā punktā noteikto maksimālo apmēru mēnesī</w:t>
      </w:r>
      <w:r>
        <w:t>;</w:t>
      </w:r>
      <w:r w:rsidRPr="004B1D07" w:rsidDel="004B1D07">
        <w:t xml:space="preserve"> </w:t>
      </w:r>
    </w:p>
    <w:p w14:paraId="02BF58C9" w14:textId="4A70FC01" w:rsidR="00497BAB" w:rsidRDefault="00497BAB" w:rsidP="006D5DB5">
      <w:pPr>
        <w:pStyle w:val="BodyText"/>
        <w:numPr>
          <w:ilvl w:val="2"/>
          <w:numId w:val="14"/>
        </w:numPr>
      </w:pPr>
      <w:r>
        <w:t xml:space="preserve">ja </w:t>
      </w:r>
      <w:r w:rsidR="0003079A" w:rsidRPr="00901D53">
        <w:t>studējošā kredīt</w:t>
      </w:r>
      <w:r>
        <w:t>s</w:t>
      </w:r>
      <w:r w:rsidR="0003079A" w:rsidRPr="00901D53">
        <w:t xml:space="preserve"> </w:t>
      </w:r>
      <w:r w:rsidR="009B3B50">
        <w:t>tiek</w:t>
      </w:r>
      <w:r w:rsidR="009B3B50" w:rsidRPr="00901D53">
        <w:t xml:space="preserve"> </w:t>
      </w:r>
      <w:r w:rsidR="0003079A" w:rsidRPr="00901D53">
        <w:t>izsniegt</w:t>
      </w:r>
      <w:r w:rsidR="009F0FA1" w:rsidRPr="00901D53">
        <w:t>s</w:t>
      </w:r>
      <w:r w:rsidR="0003079A" w:rsidRPr="00901D53">
        <w:t xml:space="preserve"> atkārtoti tā paša studiju līmeņa programmas apgūšanai </w:t>
      </w:r>
      <w:r>
        <w:t>vai</w:t>
      </w:r>
      <w:r w:rsidR="0003079A" w:rsidRPr="00901D53">
        <w:t xml:space="preserve"> secīgai pirmā līmeņa profesionālās augstākās izglītības, bakalaura, otrā līmeņa profesionālās augstākās izglītības, maģistra un doktorantūras studiju programmas apgūšanai, </w:t>
      </w:r>
      <w:r>
        <w:t xml:space="preserve"> iepriekš saņemtā</w:t>
      </w:r>
      <w:r w:rsidR="0003079A" w:rsidRPr="00901D53">
        <w:t xml:space="preserve"> studējošā kredīta atmaksa  notiek saskaņā ar MK noteikumu 42. punktu</w:t>
      </w:r>
      <w:r w:rsidR="004D2A14">
        <w:t>;</w:t>
      </w:r>
      <w:r w:rsidR="0003079A" w:rsidRPr="00901D53">
        <w:t xml:space="preserve"> </w:t>
      </w:r>
    </w:p>
    <w:p w14:paraId="6FB788B6" w14:textId="7BADC49F" w:rsidR="00F1312A" w:rsidRPr="00901D53" w:rsidRDefault="0003079A" w:rsidP="006D5DB5">
      <w:pPr>
        <w:pStyle w:val="BodyText"/>
        <w:numPr>
          <w:ilvl w:val="2"/>
          <w:numId w:val="14"/>
        </w:numPr>
      </w:pPr>
      <w:r w:rsidRPr="00901D53">
        <w:t>Studējošā kredīta summu var palielināt jau uzsāktās, bet nepabeigtās studiju programmas turpināšanai, ja sākotnēji tas netika paņemts pilnam studiju programmas apgūšanas laikam</w:t>
      </w:r>
      <w:r w:rsidR="00BE1B2D">
        <w:t>.</w:t>
      </w:r>
    </w:p>
    <w:p w14:paraId="542ACA85" w14:textId="77777777" w:rsidR="00463370" w:rsidRPr="00901D53" w:rsidRDefault="00463370" w:rsidP="00736A36">
      <w:pPr>
        <w:pStyle w:val="BodyText"/>
      </w:pPr>
      <w:r w:rsidRPr="00901D53">
        <w:t xml:space="preserve">Finanšu pakalpojums </w:t>
      </w:r>
      <w:r w:rsidR="002717A6" w:rsidRPr="00901D53">
        <w:t xml:space="preserve">ir </w:t>
      </w:r>
      <w:r w:rsidRPr="00901D53">
        <w:t xml:space="preserve">sniegts </w:t>
      </w:r>
      <w:r w:rsidRPr="00901D53">
        <w:rPr>
          <w:i/>
          <w:iCs/>
        </w:rPr>
        <w:t>euro</w:t>
      </w:r>
      <w:r w:rsidRPr="00901D53">
        <w:t>;</w:t>
      </w:r>
    </w:p>
    <w:p w14:paraId="37408860" w14:textId="0FD70C41" w:rsidR="000A660B" w:rsidRPr="00901D53" w:rsidRDefault="008F517B" w:rsidP="00736A36">
      <w:pPr>
        <w:pStyle w:val="BodyText"/>
      </w:pPr>
      <w:r w:rsidRPr="00901D53">
        <w:t>Finansētāja</w:t>
      </w:r>
      <w:r w:rsidR="002717A6" w:rsidRPr="00901D53">
        <w:t xml:space="preserve"> un </w:t>
      </w:r>
      <w:r w:rsidR="00F1312A" w:rsidRPr="00901D53">
        <w:t>Kredīta ņēmēja</w:t>
      </w:r>
      <w:r w:rsidR="002717A6" w:rsidRPr="00901D53">
        <w:t xml:space="preserve"> </w:t>
      </w:r>
      <w:r w:rsidR="000A660B" w:rsidRPr="00901D53">
        <w:t>Finanšu pakalpojuma līgums ir noslēgts pēc</w:t>
      </w:r>
      <w:r w:rsidR="002717A6" w:rsidRPr="00901D53">
        <w:t xml:space="preserve"> </w:t>
      </w:r>
      <w:r w:rsidR="000A660B" w:rsidRPr="00901D53">
        <w:t>Līguma noslēgšanas Atbilstības perioda ietvaros</w:t>
      </w:r>
      <w:r w:rsidR="002717A6" w:rsidRPr="00901D53">
        <w:t>;</w:t>
      </w:r>
    </w:p>
    <w:p w14:paraId="6B54C165" w14:textId="343773EA" w:rsidR="007A6533" w:rsidRPr="00901D53" w:rsidRDefault="00463370" w:rsidP="00736A36">
      <w:pPr>
        <w:pStyle w:val="BodyText"/>
      </w:pPr>
      <w:r w:rsidRPr="00901D53">
        <w:t>Finanšu pakalpojum</w:t>
      </w:r>
      <w:r w:rsidR="00C97566" w:rsidRPr="00901D53">
        <w:t>s</w:t>
      </w:r>
      <w:r w:rsidRPr="00901D53">
        <w:t xml:space="preserve"> ir sniegt</w:t>
      </w:r>
      <w:r w:rsidR="00C97566" w:rsidRPr="00901D53">
        <w:t>s</w:t>
      </w:r>
      <w:r w:rsidRPr="00901D53">
        <w:t xml:space="preserve"> saskaņā ar Finansētāja procedūrām, </w:t>
      </w:r>
      <w:r w:rsidR="00F1312A" w:rsidRPr="00901D53">
        <w:t xml:space="preserve">ievērojot MK noteikumu nosacījumus, ka arī </w:t>
      </w:r>
      <w:r w:rsidR="00A412E5" w:rsidRPr="00901D53">
        <w:t>ievērojot kredītiestādēm saistošus normatīvos aktus</w:t>
      </w:r>
      <w:r w:rsidR="005C24F7" w:rsidRPr="00901D53">
        <w:t xml:space="preserve">, </w:t>
      </w:r>
      <w:r w:rsidR="003E087B" w:rsidRPr="00901D53">
        <w:t>t.</w:t>
      </w:r>
      <w:r w:rsidR="005C24F7" w:rsidRPr="00901D53">
        <w:t xml:space="preserve">sk tādus, kas reglamentē nelikumīgu darbību novēršanu (nelegāli iegūtu līdzekļu legalizāciju, izvairīšanos no nodokļu nomaksas, </w:t>
      </w:r>
      <w:proofErr w:type="spellStart"/>
      <w:r w:rsidR="005C24F7" w:rsidRPr="00901D53">
        <w:t>koruptīvas</w:t>
      </w:r>
      <w:proofErr w:type="spellEnd"/>
      <w:r w:rsidR="005C24F7" w:rsidRPr="00901D53">
        <w:t xml:space="preserve"> darbības). </w:t>
      </w:r>
    </w:p>
    <w:p w14:paraId="53F7EA74" w14:textId="77777777" w:rsidR="00463370" w:rsidRPr="00901D53" w:rsidRDefault="00463370" w:rsidP="00736A36">
      <w:pPr>
        <w:pStyle w:val="BodyText"/>
        <w:numPr>
          <w:ilvl w:val="0"/>
          <w:numId w:val="0"/>
        </w:numPr>
        <w:ind w:left="720"/>
      </w:pPr>
    </w:p>
    <w:p w14:paraId="68EA3416" w14:textId="59B5F248" w:rsidR="00463370" w:rsidRPr="00901D53" w:rsidRDefault="00463370" w:rsidP="00244D91">
      <w:pPr>
        <w:pStyle w:val="NoSpacing"/>
        <w:numPr>
          <w:ilvl w:val="0"/>
          <w:numId w:val="14"/>
        </w:numPr>
        <w:jc w:val="both"/>
        <w:rPr>
          <w:rFonts w:ascii="Times New Roman" w:hAnsi="Times New Roman"/>
          <w:b/>
        </w:rPr>
      </w:pPr>
      <w:bookmarkStart w:id="7" w:name="_Ref497143838"/>
      <w:r w:rsidRPr="00901D53">
        <w:rPr>
          <w:rFonts w:ascii="Times New Roman" w:hAnsi="Times New Roman"/>
          <w:b/>
        </w:rPr>
        <w:t>Aizdevumu portfeļa izveidošanas noteikumi</w:t>
      </w:r>
      <w:bookmarkEnd w:id="7"/>
    </w:p>
    <w:p w14:paraId="6E77EC61" w14:textId="66D986B4" w:rsidR="00463370" w:rsidRPr="00901D53" w:rsidRDefault="00463370" w:rsidP="00736A36">
      <w:pPr>
        <w:pStyle w:val="BodyText"/>
      </w:pPr>
      <w:bookmarkStart w:id="8" w:name="_Ref497144027"/>
      <w:bookmarkStart w:id="9" w:name="_Ref498592010"/>
      <w:bookmarkStart w:id="10" w:name="_Ref496178504"/>
      <w:r w:rsidRPr="00901D53">
        <w:t xml:space="preserve">Ja </w:t>
      </w:r>
      <w:r w:rsidR="00EF0EAD" w:rsidRPr="00901D53">
        <w:t xml:space="preserve">Puse </w:t>
      </w:r>
      <w:r w:rsidRPr="00901D53">
        <w:t>konstatē, ka Finanšu pakalpojums neatbilst Līgumam</w:t>
      </w:r>
      <w:r w:rsidR="00C11D5C" w:rsidRPr="00901D53">
        <w:t>,</w:t>
      </w:r>
      <w:r w:rsidRPr="00901D53">
        <w:t xml:space="preserve"> šāds Finanšu pakalpojums ir atzīstams par </w:t>
      </w:r>
      <w:r w:rsidR="009F63E1" w:rsidRPr="00901D53">
        <w:t xml:space="preserve">Līgumam </w:t>
      </w:r>
      <w:r w:rsidRPr="00901D53">
        <w:t>neatbilstošu Finanšu pakalpojumu un ta</w:t>
      </w:r>
      <w:r w:rsidR="00DE2843" w:rsidRPr="00901D53">
        <w:t>s</w:t>
      </w:r>
      <w:r w:rsidR="00BE1B2D">
        <w:t xml:space="preserve"> vai tā daļa</w:t>
      </w:r>
      <w:r w:rsidRPr="00901D53">
        <w:t xml:space="preserve"> ir izsl</w:t>
      </w:r>
      <w:r w:rsidR="00DE2843" w:rsidRPr="00901D53">
        <w:t>ēdzam</w:t>
      </w:r>
      <w:r w:rsidR="00BE1B2D">
        <w:t>a</w:t>
      </w:r>
      <w:r w:rsidRPr="00901D53">
        <w:t xml:space="preserve"> no Aizdevumu portfeļa, samazinot (koriģējot) faktisko Aizdevumu portfeļa summu. Finansētājs </w:t>
      </w:r>
      <w:r w:rsidR="00244D91">
        <w:t xml:space="preserve">līdz nākamajai Līguma </w:t>
      </w:r>
      <w:r w:rsidR="00244D91">
        <w:fldChar w:fldCharType="begin"/>
      </w:r>
      <w:r w:rsidR="00244D91">
        <w:instrText xml:space="preserve"> REF _Ref45521102 \r \h </w:instrText>
      </w:r>
      <w:r w:rsidR="00244D91">
        <w:fldChar w:fldCharType="separate"/>
      </w:r>
      <w:r w:rsidR="00C579AC">
        <w:t>6.1</w:t>
      </w:r>
      <w:r w:rsidR="00244D91">
        <w:fldChar w:fldCharType="end"/>
      </w:r>
      <w:r w:rsidR="00244D91">
        <w:t xml:space="preserve">.punktā noteiktajai pārbaudei </w:t>
      </w:r>
      <w:r w:rsidR="006A522C">
        <w:t xml:space="preserve">nodrošina </w:t>
      </w:r>
      <w:r w:rsidRPr="00901D53">
        <w:t>Finanšu pakalpojum</w:t>
      </w:r>
      <w:r w:rsidR="00244D91">
        <w:t>u</w:t>
      </w:r>
      <w:r w:rsidR="00DE2843" w:rsidRPr="00901D53">
        <w:t xml:space="preserve"> izņemšanu</w:t>
      </w:r>
      <w:r w:rsidRPr="00901D53">
        <w:t xml:space="preserve"> no Aizdevumu portfeļa</w:t>
      </w:r>
      <w:r w:rsidR="009F3124">
        <w:t xml:space="preserve"> vai Finanšu pakalpojuma samazināšanu par neatbilstošo finansējuma daļu</w:t>
      </w:r>
      <w:r w:rsidR="00DE2843" w:rsidRPr="00901D53">
        <w:t xml:space="preserve">. </w:t>
      </w:r>
      <w:bookmarkEnd w:id="8"/>
      <w:bookmarkEnd w:id="9"/>
    </w:p>
    <w:p w14:paraId="09B42ED1" w14:textId="53DC5A7D" w:rsidR="00463370" w:rsidRPr="00901D53" w:rsidRDefault="009F63E1" w:rsidP="00736A36">
      <w:pPr>
        <w:pStyle w:val="BodyText"/>
      </w:pPr>
      <w:bookmarkStart w:id="11" w:name="_Ref498592023"/>
      <w:bookmarkEnd w:id="10"/>
      <w:r w:rsidRPr="00901D53">
        <w:t>J</w:t>
      </w:r>
      <w:r w:rsidR="00463370" w:rsidRPr="00901D53">
        <w:t>a ALTUM</w:t>
      </w:r>
      <w:r w:rsidR="007C3766" w:rsidRPr="00901D53">
        <w:t>,</w:t>
      </w:r>
      <w:r w:rsidR="00463370" w:rsidRPr="00901D53">
        <w:t xml:space="preserve"> veicot pārbaudi, konstatē, ka Aizdevumu portfelī iekļautais Finanšu pakalpojums neatbilst Līguma</w:t>
      </w:r>
      <w:r w:rsidR="00DE2843" w:rsidRPr="00901D53">
        <w:t xml:space="preserve"> nosacījumiem</w:t>
      </w:r>
      <w:r w:rsidR="00463370" w:rsidRPr="00901D53">
        <w:t xml:space="preserve">, </w:t>
      </w:r>
      <w:r w:rsidR="003247C4" w:rsidRPr="00901D53">
        <w:t xml:space="preserve">ALTUM par to </w:t>
      </w:r>
      <w:r w:rsidR="00463370" w:rsidRPr="00901D53">
        <w:t xml:space="preserve">informē Finansētāju un </w:t>
      </w:r>
      <w:r w:rsidR="003247C4" w:rsidRPr="00901D53">
        <w:t xml:space="preserve">Finansētājs </w:t>
      </w:r>
      <w:r w:rsidR="00463370" w:rsidRPr="00901D53">
        <w:t xml:space="preserve">konkrēto </w:t>
      </w:r>
      <w:r w:rsidR="009A5333" w:rsidRPr="00901D53">
        <w:t xml:space="preserve">Finanšu pakalpojumu </w:t>
      </w:r>
      <w:r w:rsidR="005E44CC">
        <w:t xml:space="preserve">vai tā neatbilstošo daļu </w:t>
      </w:r>
      <w:r w:rsidR="009A5333" w:rsidRPr="00901D53">
        <w:t xml:space="preserve">izslēdz </w:t>
      </w:r>
      <w:r w:rsidR="00463370" w:rsidRPr="00901D53">
        <w:t>no Aizdevuma portfeļa</w:t>
      </w:r>
      <w:bookmarkEnd w:id="11"/>
      <w:r w:rsidR="006A522C">
        <w:t>.</w:t>
      </w:r>
    </w:p>
    <w:p w14:paraId="6074B8DA" w14:textId="478840A8" w:rsidR="00463370" w:rsidRPr="00901D53" w:rsidRDefault="00463370" w:rsidP="00736A36">
      <w:pPr>
        <w:pStyle w:val="BodyText"/>
      </w:pPr>
      <w:r w:rsidRPr="00901D53">
        <w:t>Ja Finanšu pakalpojums</w:t>
      </w:r>
      <w:r w:rsidR="009F3124">
        <w:t xml:space="preserve"> vai tā daļa</w:t>
      </w:r>
      <w:r w:rsidRPr="00901D53">
        <w:t xml:space="preserve"> tiek izņemt</w:t>
      </w:r>
      <w:r w:rsidR="009F3124">
        <w:t>a</w:t>
      </w:r>
      <w:r w:rsidRPr="00901D53">
        <w:t xml:space="preserve"> no Aizdevumu portfeļa, Finansētājs tā vietā Atbilstības periodā var iekļaut citu Finanšu pakalpojumu, kas atbilst Līguma noteikumiem. </w:t>
      </w:r>
    </w:p>
    <w:p w14:paraId="78E4747C" w14:textId="4EAFFA48" w:rsidR="004452F4" w:rsidRPr="00901D53" w:rsidRDefault="004452F4" w:rsidP="00736A36">
      <w:pPr>
        <w:pStyle w:val="BodyText"/>
      </w:pPr>
      <w:r w:rsidRPr="00901D53">
        <w:t xml:space="preserve">Līguma </w:t>
      </w:r>
      <w:r w:rsidR="00FF787F" w:rsidRPr="00901D53">
        <w:fldChar w:fldCharType="begin"/>
      </w:r>
      <w:r w:rsidR="00FF787F" w:rsidRPr="00901D53">
        <w:instrText xml:space="preserve"> REF _Ref498592010 \r \h  \* MERGEFORMAT </w:instrText>
      </w:r>
      <w:r w:rsidR="00FF787F" w:rsidRPr="00901D53">
        <w:fldChar w:fldCharType="separate"/>
      </w:r>
      <w:r w:rsidR="00C579AC">
        <w:t>5.1</w:t>
      </w:r>
      <w:r w:rsidR="00FF787F" w:rsidRPr="00901D53">
        <w:fldChar w:fldCharType="end"/>
      </w:r>
      <w:r w:rsidRPr="00901D53">
        <w:t xml:space="preserve"> un </w:t>
      </w:r>
      <w:r w:rsidR="00FF787F" w:rsidRPr="00901D53">
        <w:fldChar w:fldCharType="begin"/>
      </w:r>
      <w:r w:rsidR="00FF787F" w:rsidRPr="00901D53">
        <w:instrText xml:space="preserve"> REF _Ref498592023 \r \h  \* MERGEFORMAT </w:instrText>
      </w:r>
      <w:r w:rsidR="00FF787F" w:rsidRPr="00901D53">
        <w:fldChar w:fldCharType="separate"/>
      </w:r>
      <w:r w:rsidR="00C579AC">
        <w:t>5.2</w:t>
      </w:r>
      <w:r w:rsidR="00FF787F" w:rsidRPr="00901D53">
        <w:fldChar w:fldCharType="end"/>
      </w:r>
      <w:r w:rsidR="00E414DC" w:rsidRPr="00901D53">
        <w:t>.punktā noteiktajās situācijās, Finansētājs ne vēlāk kā 7 (septiņu</w:t>
      </w:r>
      <w:r w:rsidR="00764603" w:rsidRPr="00901D53">
        <w:t>)</w:t>
      </w:r>
      <w:r w:rsidR="00E414DC" w:rsidRPr="00901D53">
        <w:t xml:space="preserve"> kalendāro dienu laikā </w:t>
      </w:r>
      <w:r w:rsidR="00A777F1" w:rsidRPr="00901D53">
        <w:t xml:space="preserve">1) </w:t>
      </w:r>
      <w:r w:rsidR="00651517" w:rsidRPr="00901D53">
        <w:t>pēc ALTUM paziņojuma saņemšanas</w:t>
      </w:r>
      <w:r w:rsidR="00A777F1" w:rsidRPr="00901D53">
        <w:t xml:space="preserve">, ja ALTUM konstatēja neatbilstību; vai 2) pēc nākamās </w:t>
      </w:r>
      <w:r w:rsidR="00244D91">
        <w:t xml:space="preserve">Līguma </w:t>
      </w:r>
      <w:r w:rsidR="00244D91">
        <w:fldChar w:fldCharType="begin"/>
      </w:r>
      <w:r w:rsidR="00244D91">
        <w:instrText xml:space="preserve"> REF _Ref45521102 \r \h </w:instrText>
      </w:r>
      <w:r w:rsidR="00244D91">
        <w:fldChar w:fldCharType="separate"/>
      </w:r>
      <w:r w:rsidR="00C579AC">
        <w:t>6.1</w:t>
      </w:r>
      <w:r w:rsidR="00244D91">
        <w:fldChar w:fldCharType="end"/>
      </w:r>
      <w:r w:rsidR="00244D91">
        <w:t xml:space="preserve">.punktā noteiktās pārbaudes </w:t>
      </w:r>
      <w:r w:rsidR="00BE1B2D">
        <w:t>veikšanas</w:t>
      </w:r>
      <w:r w:rsidR="00A777F1" w:rsidRPr="00901D53">
        <w:t>, ja Finansētājs konstatēja neatbilstību,</w:t>
      </w:r>
      <w:r w:rsidRPr="00901D53">
        <w:t xml:space="preserve"> </w:t>
      </w:r>
      <w:r w:rsidR="00E414DC" w:rsidRPr="00901D53">
        <w:t xml:space="preserve">pārskaita </w:t>
      </w:r>
      <w:r w:rsidRPr="00901D53">
        <w:t xml:space="preserve">ALTUM kontā saistībā ar šādu </w:t>
      </w:r>
      <w:r w:rsidR="009A5333" w:rsidRPr="00901D53">
        <w:t xml:space="preserve">Līgumam </w:t>
      </w:r>
      <w:r w:rsidRPr="00901D53">
        <w:t>neatbilstošu Finanšu pakalpojumu saņemto Kompensācijas izmaksu, ja tāda ir tikusi izmaksāta</w:t>
      </w:r>
      <w:r w:rsidR="00E414DC" w:rsidRPr="00901D53">
        <w:t>.</w:t>
      </w:r>
    </w:p>
    <w:p w14:paraId="6F55AB76" w14:textId="5C560CF8" w:rsidR="00463370" w:rsidRPr="00901D53" w:rsidRDefault="002D1E32" w:rsidP="00736A36">
      <w:pPr>
        <w:pStyle w:val="BodyText"/>
      </w:pPr>
      <w:r w:rsidRPr="004C72D2">
        <w:t xml:space="preserve">Aizdevuma portfelī iekļauj Finanšu pakalpojumu izsniegtās summas tikai līdz Maksimālajai izsniedzamajai Finanšu pakalpojumu summai attiecīgajā kalendārajā gadā. Ja iepriekšējā gadā Finansētājs neizlieto visu tam pieejamo Maksimāli izsniedzamās Finanšu pakalpojumu </w:t>
      </w:r>
      <w:r w:rsidRPr="004C72D2">
        <w:lastRenderedPageBreak/>
        <w:t>summas limitu, attiecīgā neizlietotā daļa var tikt izmantota, pievienojot to nākamajā (-</w:t>
      </w:r>
      <w:proofErr w:type="spellStart"/>
      <w:r w:rsidRPr="004C72D2">
        <w:t>os</w:t>
      </w:r>
      <w:proofErr w:type="spellEnd"/>
      <w:r w:rsidRPr="004C72D2">
        <w:t>) gadā (-</w:t>
      </w:r>
      <w:proofErr w:type="spellStart"/>
      <w:r w:rsidRPr="004C72D2">
        <w:t>os</w:t>
      </w:r>
      <w:proofErr w:type="spellEnd"/>
      <w:r w:rsidRPr="004C72D2">
        <w:t>) Maksimāli izsniedzamajai Finanšu pakalpojumu summai. Ja Finanšu pakalpojuma summa, ko jāizsniedz attiecīgā kalendārā gadā saskaņā ar jau piešķirtiem Finanšu pakalpojumiem (noslēgtiem Finanšu pakalpojumu līgumiem), pārsniedz Pielikuma Nr.1 7.punktā norādīto summu, Finansētājs ir tiesīgs noteikt, kurus Finanšu pakalpojumus no piešķirto Finanšu pakalpojumu kopuma izmaksāt pieejamās Maksimāli izsniedzamās Finanšu pakalpojumu summas ietvaros, ievērojot principu, ka Finansētājs var piešķirt jaunus Finanšu pakalpojumus (t.i., noslēgt jaunus Finanšu pakalpojumu līgumus) attiecīgajā gadā tikai tādā apmērā, kādu Maksimāli izsniedzamās finanšu pakalpojumu summas ietvaros pieļaujams piešķirt un izsniegt pēc visu iepriekš piešķirto Finanšu pakalpojumu izmaksāšanas</w:t>
      </w:r>
      <w:r w:rsidR="009A5333" w:rsidRPr="00901D53">
        <w:t>.</w:t>
      </w:r>
    </w:p>
    <w:p w14:paraId="3E0E0430" w14:textId="66C7DF8C" w:rsidR="009550D9" w:rsidRPr="00901D53" w:rsidRDefault="00463370" w:rsidP="00736A36">
      <w:pPr>
        <w:pStyle w:val="BodyText"/>
      </w:pPr>
      <w:r w:rsidRPr="00901D53">
        <w:t xml:space="preserve">Finansētāja izsniedzamo Finanšu pakalpojumu </w:t>
      </w:r>
      <w:r w:rsidR="00637632" w:rsidRPr="00901D53">
        <w:t xml:space="preserve">kopsummu </w:t>
      </w:r>
      <w:r w:rsidRPr="00901D53">
        <w:t>var samazināt</w:t>
      </w:r>
      <w:r w:rsidR="00E72767" w:rsidRPr="00901D53">
        <w:t xml:space="preserve"> vai palielināt</w:t>
      </w:r>
      <w:r w:rsidRPr="00901D53">
        <w:t>, ja Finansētājs vēršas pie ALTUM ar motivētu lūgumu par izmaiņām Finansētāja izsniedzamo Finanšu pakalpojumu grafikā (Pielikums Nr.1).</w:t>
      </w:r>
      <w:r w:rsidR="009550D9" w:rsidRPr="00901D53">
        <w:t xml:space="preserve"> Šādā kārtībā var samazināt arī Maksimāl</w:t>
      </w:r>
      <w:r w:rsidR="00637632" w:rsidRPr="00901D53">
        <w:t>o</w:t>
      </w:r>
      <w:r w:rsidR="009550D9" w:rsidRPr="00901D53">
        <w:t xml:space="preserve"> Aizdevumu portfeļa apmēr</w:t>
      </w:r>
      <w:r w:rsidR="00637632" w:rsidRPr="00901D53">
        <w:t>u</w:t>
      </w:r>
      <w:r w:rsidR="009550D9" w:rsidRPr="00901D53">
        <w:t>.</w:t>
      </w:r>
    </w:p>
    <w:p w14:paraId="51834B6C" w14:textId="32025C0F" w:rsidR="00C82F37" w:rsidRDefault="00463370" w:rsidP="00736A36">
      <w:pPr>
        <w:pStyle w:val="BodyText"/>
      </w:pPr>
      <w:r w:rsidRPr="00901D53">
        <w:t>ALTUM</w:t>
      </w:r>
      <w:r w:rsidR="00C82F37">
        <w:t>, v</w:t>
      </w:r>
      <w:r w:rsidR="00C82F37" w:rsidRPr="00C82F37">
        <w:t xml:space="preserve">ienojoties ar </w:t>
      </w:r>
      <w:r w:rsidR="00C82F37">
        <w:t xml:space="preserve">Finansētāju un ievērojot </w:t>
      </w:r>
      <w:r w:rsidR="006206D8">
        <w:t xml:space="preserve">Atlases </w:t>
      </w:r>
      <w:r w:rsidR="00C82F37" w:rsidRPr="00C82F37">
        <w:t xml:space="preserve"> noteikum</w:t>
      </w:r>
      <w:r w:rsidR="00C82F37">
        <w:t xml:space="preserve">us, </w:t>
      </w:r>
      <w:r w:rsidR="00C82F37" w:rsidRPr="00C82F37">
        <w:t>lai nodrošinātu un veicinātu kredītu pieejamību studentiem</w:t>
      </w:r>
      <w:r w:rsidR="00C82F37">
        <w:t xml:space="preserve">, </w:t>
      </w:r>
      <w:r w:rsidR="00C82F37" w:rsidRPr="00C82F37">
        <w:t>ir tiesī</w:t>
      </w:r>
      <w:r w:rsidR="00C82F37">
        <w:t>b</w:t>
      </w:r>
      <w:r w:rsidR="00C82F37" w:rsidRPr="00C82F37">
        <w:t xml:space="preserve">as veikt jebkāda veida finansējuma pārdales, piemēram, ja </w:t>
      </w:r>
      <w:r w:rsidR="00C82F37">
        <w:t xml:space="preserve">Finansētājs ir </w:t>
      </w:r>
      <w:r w:rsidR="00C82F37" w:rsidRPr="00C82F37">
        <w:t xml:space="preserve">izsniedzis visu paredzēto finansējumu vai </w:t>
      </w:r>
      <w:r w:rsidR="00C82F37">
        <w:t xml:space="preserve">Finansētājs </w:t>
      </w:r>
      <w:r w:rsidR="00C82F37" w:rsidRPr="00C82F37">
        <w:t xml:space="preserve">izsniedz būtiski mazāk kā prognozēts pieteikumā, vai pieejams papildus </w:t>
      </w:r>
      <w:r w:rsidR="006206D8">
        <w:t xml:space="preserve">valsts budžeta </w:t>
      </w:r>
      <w:r w:rsidR="003D1C3E">
        <w:t>vai starptauti</w:t>
      </w:r>
      <w:r w:rsidR="00CE1C0E">
        <w:t>sk</w:t>
      </w:r>
      <w:r w:rsidR="003D1C3E">
        <w:t>o finanšu institūciju</w:t>
      </w:r>
      <w:r w:rsidR="00C237E4">
        <w:t xml:space="preserve"> līdzekļu</w:t>
      </w:r>
      <w:r w:rsidR="003D1C3E">
        <w:t xml:space="preserve"> </w:t>
      </w:r>
      <w:r w:rsidR="00C82F37" w:rsidRPr="00C82F37">
        <w:t>finansējums</w:t>
      </w:r>
      <w:r w:rsidR="006A522C">
        <w:t>.</w:t>
      </w:r>
      <w:r w:rsidR="00C82F37" w:rsidRPr="00C82F37">
        <w:t xml:space="preserve"> </w:t>
      </w:r>
    </w:p>
    <w:p w14:paraId="2059D8DE" w14:textId="19FE453B" w:rsidR="00463370" w:rsidRPr="00901D53" w:rsidRDefault="00463370" w:rsidP="00736A36">
      <w:pPr>
        <w:pStyle w:val="BodyText"/>
      </w:pPr>
      <w:r w:rsidRPr="00901D53">
        <w:t xml:space="preserve"> ALTUM pēc novērtēšanas un, vienojoties ar Finansētāju, var samazināt piešķirto </w:t>
      </w:r>
      <w:r w:rsidR="0091451B" w:rsidRPr="00901D53">
        <w:t xml:space="preserve">Maksimālo </w:t>
      </w:r>
      <w:r w:rsidR="00B42F50" w:rsidRPr="00901D53">
        <w:t xml:space="preserve">Aizdevumu </w:t>
      </w:r>
      <w:r w:rsidRPr="00901D53">
        <w:t xml:space="preserve">portfeļa apmēru. </w:t>
      </w:r>
      <w:r w:rsidR="0091451B" w:rsidRPr="00901D53">
        <w:t xml:space="preserve">Maksimālā </w:t>
      </w:r>
      <w:r w:rsidR="00B42F50" w:rsidRPr="00901D53">
        <w:t>Aizdevumu</w:t>
      </w:r>
      <w:r w:rsidRPr="00901D53">
        <w:t xml:space="preserve"> portfeļa samazinājums ir noformējams ar Līguma grozījumiem, kurus paraksta abas Puses, pievienojot atjaunoto Finanšu pakalpojumu iekļaušanas Aizdevumu portfelī grafiku. Jebkurā gadījumā </w:t>
      </w:r>
      <w:r w:rsidR="00B42F50" w:rsidRPr="00901D53">
        <w:t xml:space="preserve">Aizdevumu </w:t>
      </w:r>
      <w:r w:rsidRPr="00901D53">
        <w:t>portfe</w:t>
      </w:r>
      <w:r w:rsidR="00134D82" w:rsidRPr="00901D53">
        <w:t>li</w:t>
      </w:r>
      <w:r w:rsidRPr="00901D53">
        <w:t xml:space="preserve"> Finansētājam saskaņā ar šo punktu nevar samazināt vairāk nekā līdz faktisk</w:t>
      </w:r>
      <w:r w:rsidR="00134D82" w:rsidRPr="00901D53">
        <w:t>ajam</w:t>
      </w:r>
      <w:r w:rsidRPr="00901D53">
        <w:t xml:space="preserve"> Aizdevumu portfe</w:t>
      </w:r>
      <w:r w:rsidR="00134D82" w:rsidRPr="00901D53">
        <w:t>lim</w:t>
      </w:r>
      <w:r w:rsidR="005C25B7" w:rsidRPr="00901D53">
        <w:t xml:space="preserve"> </w:t>
      </w:r>
      <w:r w:rsidRPr="00901D53">
        <w:t>izvērtēšanas brīd</w:t>
      </w:r>
      <w:r w:rsidR="00EF0EAD" w:rsidRPr="00901D53">
        <w:t>ī</w:t>
      </w:r>
      <w:r w:rsidRPr="00901D53">
        <w:t>.</w:t>
      </w:r>
    </w:p>
    <w:p w14:paraId="31E187F4" w14:textId="3F218C54" w:rsidR="00463370" w:rsidRPr="00901D53" w:rsidRDefault="00426EE2" w:rsidP="00736A36">
      <w:pPr>
        <w:pStyle w:val="BodyText"/>
      </w:pPr>
      <w:r w:rsidRPr="00901D53">
        <w:t xml:space="preserve">Finansētājs </w:t>
      </w:r>
      <w:r w:rsidR="00463370" w:rsidRPr="00901D53">
        <w:t xml:space="preserve">var vērsties ALTUM ar motivētu lūgumu palielināt Maksimālo </w:t>
      </w:r>
      <w:r w:rsidR="009550D9" w:rsidRPr="00901D53">
        <w:t>A</w:t>
      </w:r>
      <w:r w:rsidR="00463370" w:rsidRPr="00901D53">
        <w:t xml:space="preserve">izdevumu portfeļa </w:t>
      </w:r>
      <w:r w:rsidR="00093403" w:rsidRPr="00901D53">
        <w:t xml:space="preserve">apmēru </w:t>
      </w:r>
      <w:r w:rsidR="00463370" w:rsidRPr="00901D53">
        <w:t xml:space="preserve">un ALTUM, ja tai ir pieejami finanšu resursi </w:t>
      </w:r>
      <w:proofErr w:type="spellStart"/>
      <w:r w:rsidR="00463370" w:rsidRPr="00901D53">
        <w:t>Portfeļgarantijas</w:t>
      </w:r>
      <w:proofErr w:type="spellEnd"/>
      <w:r w:rsidR="00463370" w:rsidRPr="00901D53">
        <w:t xml:space="preserve"> ietvaros, var </w:t>
      </w:r>
      <w:r w:rsidR="00093403" w:rsidRPr="00901D53">
        <w:t xml:space="preserve">to </w:t>
      </w:r>
      <w:r w:rsidR="00463370" w:rsidRPr="00901D53">
        <w:t xml:space="preserve">palielināt, veicot grozījumus Līgumā. </w:t>
      </w:r>
    </w:p>
    <w:p w14:paraId="3429642C" w14:textId="61CF4ADF" w:rsidR="004A60D8" w:rsidRPr="00901D53" w:rsidRDefault="00463370" w:rsidP="00736A36">
      <w:pPr>
        <w:pStyle w:val="BodyText"/>
      </w:pPr>
      <w:r w:rsidRPr="00901D53">
        <w:t>Aizdevumu portfelī iekļau</w:t>
      </w:r>
      <w:r w:rsidR="005C25B7" w:rsidRPr="00901D53">
        <w:t>j</w:t>
      </w:r>
      <w:r w:rsidRPr="00901D53">
        <w:t xml:space="preserve"> tikai </w:t>
      </w:r>
      <w:r w:rsidR="005C25B7" w:rsidRPr="00901D53">
        <w:t>tos</w:t>
      </w:r>
      <w:r w:rsidRPr="00901D53">
        <w:t xml:space="preserve"> Finanšu pakalpojum</w:t>
      </w:r>
      <w:r w:rsidR="005C25B7" w:rsidRPr="00901D53">
        <w:t>us</w:t>
      </w:r>
      <w:r w:rsidRPr="00901D53">
        <w:t xml:space="preserve">, </w:t>
      </w:r>
      <w:r w:rsidR="00940503" w:rsidRPr="00901D53">
        <w:t xml:space="preserve">kas </w:t>
      </w:r>
      <w:r w:rsidR="00B42F50" w:rsidRPr="00901D53">
        <w:t>noslēgti</w:t>
      </w:r>
      <w:r w:rsidR="00940503" w:rsidRPr="00901D53">
        <w:t xml:space="preserve"> līdz Atbilstības perioda beigām. </w:t>
      </w:r>
      <w:r w:rsidRPr="00901D53">
        <w:t xml:space="preserve"> Šād</w:t>
      </w:r>
      <w:r w:rsidR="00C1644C" w:rsidRPr="00901D53">
        <w:t>us</w:t>
      </w:r>
      <w:r w:rsidRPr="00901D53">
        <w:t xml:space="preserve"> Finanšu pakalpojum</w:t>
      </w:r>
      <w:r w:rsidR="00C1644C" w:rsidRPr="00901D53">
        <w:t>us</w:t>
      </w:r>
      <w:r w:rsidRPr="00901D53">
        <w:t xml:space="preserve"> izmaksā līdz Finanšu pakalpojumu </w:t>
      </w:r>
      <w:r w:rsidR="00CB73ED">
        <w:t xml:space="preserve">līgumā paredzētā </w:t>
      </w:r>
      <w:r w:rsidRPr="00901D53">
        <w:t xml:space="preserve">izmaksas perioda beigām. </w:t>
      </w:r>
    </w:p>
    <w:p w14:paraId="57D0A651" w14:textId="1E1F1110" w:rsidR="007A0FAD" w:rsidRPr="00901D53" w:rsidRDefault="007A0FAD" w:rsidP="00736A36">
      <w:pPr>
        <w:pStyle w:val="BodyText"/>
        <w:numPr>
          <w:ilvl w:val="0"/>
          <w:numId w:val="0"/>
        </w:numPr>
        <w:ind w:left="720"/>
      </w:pPr>
    </w:p>
    <w:p w14:paraId="5E2F5EF4" w14:textId="5A44DD4E" w:rsidR="00096BFA" w:rsidRPr="00901D53" w:rsidRDefault="001C2114" w:rsidP="00244D91">
      <w:pPr>
        <w:pStyle w:val="NoSpacing"/>
        <w:numPr>
          <w:ilvl w:val="0"/>
          <w:numId w:val="14"/>
        </w:numPr>
        <w:jc w:val="both"/>
        <w:rPr>
          <w:rFonts w:ascii="Times New Roman" w:hAnsi="Times New Roman"/>
          <w:b/>
        </w:rPr>
      </w:pPr>
      <w:r w:rsidRPr="00901D53">
        <w:rPr>
          <w:rFonts w:ascii="Times New Roman" w:hAnsi="Times New Roman"/>
          <w:b/>
        </w:rPr>
        <w:t>Pušu sadarbība Garantijas darbības laikā</w:t>
      </w:r>
    </w:p>
    <w:p w14:paraId="2415CEEA" w14:textId="5836A163" w:rsidR="003F1521" w:rsidRPr="00901D53" w:rsidRDefault="003F1521" w:rsidP="00736A36">
      <w:pPr>
        <w:pStyle w:val="BodyText"/>
      </w:pPr>
      <w:bookmarkStart w:id="12" w:name="_Ref45521102"/>
      <w:bookmarkStart w:id="13" w:name="_Ref47419438"/>
      <w:r w:rsidRPr="00901D53">
        <w:t xml:space="preserve">ALTUM </w:t>
      </w:r>
      <w:r w:rsidR="00640BE2" w:rsidRPr="00901D53">
        <w:t xml:space="preserve">1 (vienu) </w:t>
      </w:r>
      <w:r w:rsidRPr="00901D53">
        <w:t xml:space="preserve">reizi mēnesī, kamēr </w:t>
      </w:r>
      <w:r w:rsidR="00C16512" w:rsidRPr="00901D53">
        <w:t xml:space="preserve">ir spēkā </w:t>
      </w:r>
      <w:r w:rsidRPr="00901D53">
        <w:t>Finanšu pakalpojuma līgums, norādot Kredīta ņēmēja personas kodu</w:t>
      </w:r>
      <w:r w:rsidR="005F3CC2">
        <w:t xml:space="preserve"> vai citus identifikācijas datus</w:t>
      </w:r>
      <w:r w:rsidRPr="00901D53">
        <w:t xml:space="preserve">, tiešsaistes režīmā no Valsts Izglītības informācijas </w:t>
      </w:r>
      <w:r w:rsidR="005F3CC2" w:rsidRPr="00901D53">
        <w:t>sistēm</w:t>
      </w:r>
      <w:r w:rsidR="005F3CC2">
        <w:t>as</w:t>
      </w:r>
      <w:r w:rsidR="005F3CC2" w:rsidRPr="00901D53">
        <w:t xml:space="preserve"> </w:t>
      </w:r>
      <w:r w:rsidRPr="00901D53">
        <w:t xml:space="preserve">Studējošo un absolventu reģistra, izmantojot Valsts informācijas sistēmu </w:t>
      </w:r>
      <w:proofErr w:type="spellStart"/>
      <w:r w:rsidRPr="00901D53">
        <w:t>savietotāju</w:t>
      </w:r>
      <w:proofErr w:type="spellEnd"/>
      <w:r w:rsidRPr="00901D53">
        <w:t xml:space="preserve"> un</w:t>
      </w:r>
      <w:r w:rsidR="00244D91">
        <w:t xml:space="preserve"> Latvijas Bankas Kredītu reģistra (</w:t>
      </w:r>
      <w:r w:rsidR="00740A84">
        <w:t xml:space="preserve">turpmāk tekstā - </w:t>
      </w:r>
      <w:r w:rsidR="00244D91">
        <w:t>LB KR)</w:t>
      </w:r>
      <w:r w:rsidR="00764AD3">
        <w:t xml:space="preserve"> datus</w:t>
      </w:r>
      <w:r w:rsidR="00634095" w:rsidRPr="00901D53">
        <w:t>,</w:t>
      </w:r>
      <w:r w:rsidR="00BE1B2D">
        <w:t xml:space="preserve"> </w:t>
      </w:r>
      <w:r w:rsidR="00634095" w:rsidRPr="00901D53">
        <w:t>pārbauda Kredīta ņēmēja datus un informāciju par Finanšu pakalpojumu.</w:t>
      </w:r>
      <w:bookmarkEnd w:id="12"/>
      <w:bookmarkEnd w:id="13"/>
    </w:p>
    <w:p w14:paraId="5EA3DC93" w14:textId="701EBD54" w:rsidR="00634095" w:rsidRPr="00901D53" w:rsidRDefault="00634095" w:rsidP="00736A36">
      <w:pPr>
        <w:pStyle w:val="BodyText"/>
      </w:pPr>
      <w:r w:rsidRPr="00901D53">
        <w:t xml:space="preserve">Ja ALTUM konstatē neatbilstības, ALTUM </w:t>
      </w:r>
      <w:r w:rsidR="00C16512" w:rsidRPr="00901D53">
        <w:t>5 (piecu) darba dienu laikā pēc neatbilstības konstatēšanas</w:t>
      </w:r>
      <w:r w:rsidRPr="00901D53">
        <w:t xml:space="preserve"> lūdz</w:t>
      </w:r>
      <w:r w:rsidR="00C16512" w:rsidRPr="00901D53">
        <w:t xml:space="preserve"> Finansētājam līdz nākamā mēneša pārbaudei konstatētās neatbilstības novērst.</w:t>
      </w:r>
    </w:p>
    <w:p w14:paraId="5C3CAB1D" w14:textId="6F6DD4B6" w:rsidR="00C16512" w:rsidRPr="00901D53" w:rsidRDefault="00C16512" w:rsidP="00736A36">
      <w:pPr>
        <w:pStyle w:val="BodyText"/>
      </w:pPr>
      <w:r w:rsidRPr="00901D53">
        <w:t xml:space="preserve">Ja ALTUM </w:t>
      </w:r>
      <w:r w:rsidR="00451A79" w:rsidRPr="00901D53">
        <w:t>3</w:t>
      </w:r>
      <w:r w:rsidRPr="00901D53">
        <w:t xml:space="preserve"> (</w:t>
      </w:r>
      <w:r w:rsidR="00451A79" w:rsidRPr="00901D53">
        <w:t>trīs</w:t>
      </w:r>
      <w:r w:rsidRPr="00901D53">
        <w:t>) reizes Finansētājam ir norādījis par vienām un tām pašām neatbilstībām</w:t>
      </w:r>
      <w:r w:rsidR="006F02FF">
        <w:t>, kas radušās Finansētāja rīcības dēļ</w:t>
      </w:r>
      <w:r w:rsidRPr="00901D53">
        <w:t>, bet Finansētājs t</w:t>
      </w:r>
      <w:r w:rsidR="00EE37B9" w:rsidRPr="00901D53">
        <w:t>ā</w:t>
      </w:r>
      <w:r w:rsidRPr="00901D53">
        <w:t>s nav novērsis, attiecīgais Finanšu pakalpojums tiek izslēgts no Aizdevumu portfeļa.</w:t>
      </w:r>
    </w:p>
    <w:p w14:paraId="22ED7C4F" w14:textId="22DEB334" w:rsidR="00640BE2" w:rsidRPr="00901D53" w:rsidRDefault="00640BE2" w:rsidP="00736A36">
      <w:pPr>
        <w:pStyle w:val="BodyText"/>
      </w:pPr>
      <w:r w:rsidRPr="00901D53">
        <w:t xml:space="preserve">Ja Pusēm ir atšķirīgi viedokļi par Finanšu pakalpojuma iekļaušanu Aizdevumu portfelī, Puses katru šādu gadījumu izskata un risina individuāli, savstarpēji vienojoties. </w:t>
      </w:r>
    </w:p>
    <w:p w14:paraId="2F482BE7" w14:textId="378075B5" w:rsidR="0070626C" w:rsidRPr="00901D53" w:rsidRDefault="0070626C" w:rsidP="00736A36">
      <w:pPr>
        <w:pStyle w:val="BodyText"/>
      </w:pPr>
      <w:bookmarkStart w:id="14" w:name="_Ref45199053"/>
      <w:r w:rsidRPr="00901D53">
        <w:t xml:space="preserve">Finansētājam saprātīgā termiņā ir pienākums pēc ALTUM pieprasījuma iesniegt papildu informāciju par </w:t>
      </w:r>
      <w:r w:rsidR="001C42C8">
        <w:t xml:space="preserve">piesaistītajām </w:t>
      </w:r>
      <w:r w:rsidRPr="00901D53">
        <w:t>Garantijām un ar to saistīto informāciju, kas nepieciešama ALTUM uzraugošo institūcij</w:t>
      </w:r>
      <w:r w:rsidR="00AF6E39" w:rsidRPr="00901D53">
        <w:t>u</w:t>
      </w:r>
      <w:r w:rsidRPr="00901D53">
        <w:t xml:space="preserve"> pārstāvjiem, kā arī citu kompetento institūciju pārstāvjiem, kuriem ir tiesības, pilnvarojums, ALTUM saistošo normatīvo aktu, likumisko un līgumisko, kas ALTUM nosaka finansējuma piešķiršanas noteikumus garantiju programmu īstenošanai, saistību izpildei. Ja, pamatojoties uz ALTUM uzraugošo iestāžu un saistošo normatīvo aktu prasībām, iepriekš minētai informācijai tiks noteikta iesniegšanas regularitāte, ALTUM izstrādās </w:t>
      </w:r>
      <w:r w:rsidR="00FF2E45">
        <w:t xml:space="preserve">un saskaņos ar Finansētāju </w:t>
      </w:r>
      <w:r w:rsidRPr="00901D53">
        <w:t xml:space="preserve">veidlapu un </w:t>
      </w:r>
      <w:r w:rsidR="006F02FF">
        <w:t xml:space="preserve">tās </w:t>
      </w:r>
      <w:r w:rsidRPr="00901D53">
        <w:t>iesniegšanas kārtību.</w:t>
      </w:r>
      <w:bookmarkEnd w:id="14"/>
    </w:p>
    <w:p w14:paraId="3EC9D7FC" w14:textId="164E7A0C" w:rsidR="0070626C" w:rsidRPr="00901D53" w:rsidRDefault="0070626C" w:rsidP="00736A36">
      <w:pPr>
        <w:pStyle w:val="BodyText"/>
      </w:pPr>
      <w:r w:rsidRPr="00901D53">
        <w:lastRenderedPageBreak/>
        <w:t>Finansētājs patstāvīgi</w:t>
      </w:r>
      <w:r w:rsidR="00393BD9" w:rsidRPr="00901D53">
        <w:t>, ievērojot MK noteikumus,</w:t>
      </w:r>
      <w:r w:rsidRPr="00901D53">
        <w:t xml:space="preserve"> bez saskaņošanas ar ALTUM</w:t>
      </w:r>
      <w:r w:rsidR="00393BD9" w:rsidRPr="00901D53">
        <w:t>,</w:t>
      </w:r>
      <w:r w:rsidRPr="00901D53">
        <w:t xml:space="preserve"> </w:t>
      </w:r>
      <w:r w:rsidR="007D65A7" w:rsidRPr="00901D53">
        <w:t>piedzen no Kredīta ņēmēja neatmaksātos Finanšu pakal</w:t>
      </w:r>
      <w:r w:rsidR="00CA44FD" w:rsidRPr="00901D53">
        <w:t>p</w:t>
      </w:r>
      <w:r w:rsidR="007D65A7" w:rsidRPr="00901D53">
        <w:t>ojumus</w:t>
      </w:r>
      <w:r w:rsidR="00393BD9" w:rsidRPr="00901D53">
        <w:t>. Atgūtās summas netiek atgrieztas ALTUM.</w:t>
      </w:r>
    </w:p>
    <w:p w14:paraId="5DF2C7AB" w14:textId="77777777" w:rsidR="0028070D" w:rsidRPr="00901D53" w:rsidRDefault="0028070D" w:rsidP="00736A36">
      <w:pPr>
        <w:pStyle w:val="BodyText"/>
        <w:numPr>
          <w:ilvl w:val="0"/>
          <w:numId w:val="0"/>
        </w:numPr>
        <w:ind w:left="720"/>
      </w:pPr>
    </w:p>
    <w:p w14:paraId="16D922C9" w14:textId="572CF174" w:rsidR="00A63F39" w:rsidRPr="00901D53" w:rsidRDefault="00096BFA" w:rsidP="00244D91">
      <w:pPr>
        <w:pStyle w:val="NoSpacing"/>
        <w:numPr>
          <w:ilvl w:val="0"/>
          <w:numId w:val="14"/>
        </w:numPr>
        <w:jc w:val="both"/>
        <w:rPr>
          <w:rFonts w:ascii="Times New Roman" w:hAnsi="Times New Roman"/>
          <w:b/>
        </w:rPr>
      </w:pPr>
      <w:r w:rsidRPr="00901D53">
        <w:rPr>
          <w:rFonts w:ascii="Times New Roman" w:hAnsi="Times New Roman"/>
          <w:b/>
        </w:rPr>
        <w:t>Kompensācij</w:t>
      </w:r>
      <w:r w:rsidR="002A34C4" w:rsidRPr="00901D53">
        <w:rPr>
          <w:rFonts w:ascii="Times New Roman" w:hAnsi="Times New Roman"/>
          <w:b/>
        </w:rPr>
        <w:t>as</w:t>
      </w:r>
      <w:r w:rsidRPr="00901D53">
        <w:rPr>
          <w:rFonts w:ascii="Times New Roman" w:hAnsi="Times New Roman"/>
          <w:b/>
        </w:rPr>
        <w:t xml:space="preserve"> izmaksa </w:t>
      </w:r>
    </w:p>
    <w:p w14:paraId="191B42EF" w14:textId="428C4F11" w:rsidR="00C752B2" w:rsidRPr="00604035" w:rsidRDefault="00C752B2" w:rsidP="00736A36">
      <w:pPr>
        <w:pStyle w:val="BodyText"/>
      </w:pPr>
      <w:r w:rsidRPr="00901D53">
        <w:t>Finansētājs Kompensācij</w:t>
      </w:r>
      <w:r w:rsidR="00BF34A3" w:rsidRPr="00901D53">
        <w:t>u</w:t>
      </w:r>
      <w:r w:rsidRPr="00901D53">
        <w:t xml:space="preserve"> izmaksas pieteikumu</w:t>
      </w:r>
      <w:r w:rsidR="00C52149" w:rsidRPr="00901D53">
        <w:t>,</w:t>
      </w:r>
      <w:r w:rsidRPr="00901D53">
        <w:t xml:space="preserve"> </w:t>
      </w:r>
      <w:r w:rsidR="00C52149" w:rsidRPr="00901D53">
        <w:t>kas sagatavots atbilstoši Līguma Pielikum</w:t>
      </w:r>
      <w:r w:rsidR="00BF34A3" w:rsidRPr="00901D53">
        <w:t>am</w:t>
      </w:r>
      <w:r w:rsidR="00C52149" w:rsidRPr="00901D53">
        <w:t xml:space="preserve"> Nr.</w:t>
      </w:r>
      <w:r w:rsidR="00ED0643" w:rsidRPr="00901D53">
        <w:t>3</w:t>
      </w:r>
      <w:r w:rsidR="00C52149" w:rsidRPr="00901D53">
        <w:t xml:space="preserve">, </w:t>
      </w:r>
      <w:r w:rsidRPr="00901D53">
        <w:t>iesniedz ALTUM</w:t>
      </w:r>
      <w:r w:rsidR="00604035">
        <w:t xml:space="preserve"> ne biežāk </w:t>
      </w:r>
      <w:r w:rsidR="00604035" w:rsidRPr="00604035">
        <w:t>kā</w:t>
      </w:r>
      <w:r w:rsidRPr="00604035">
        <w:t xml:space="preserve"> </w:t>
      </w:r>
      <w:r w:rsidR="00ED0643" w:rsidRPr="00604035">
        <w:t xml:space="preserve">1 (vienu) </w:t>
      </w:r>
      <w:r w:rsidRPr="00604035">
        <w:t>vienu reizi ceturksnī</w:t>
      </w:r>
      <w:r w:rsidR="00BF34A3" w:rsidRPr="00604035">
        <w:t xml:space="preserve"> </w:t>
      </w:r>
      <w:r w:rsidR="00222862" w:rsidRPr="00604035">
        <w:t>pēc katra kalendārā ceturkšņa beigām 30 (trīsdesmit) kalendāro dienu laikā</w:t>
      </w:r>
      <w:r w:rsidR="00BF34A3" w:rsidRPr="00604035">
        <w:t xml:space="preserve">. </w:t>
      </w:r>
    </w:p>
    <w:p w14:paraId="2841CEFE" w14:textId="17061E02" w:rsidR="008D39D0" w:rsidRPr="00604035" w:rsidRDefault="00096BFA" w:rsidP="00736A36">
      <w:pPr>
        <w:pStyle w:val="BodyText"/>
      </w:pPr>
      <w:r w:rsidRPr="00604035">
        <w:t xml:space="preserve">Kompensācijas izmaksas tiek veiktas </w:t>
      </w:r>
      <w:r w:rsidR="006B252B" w:rsidRPr="00604035">
        <w:t>1 (</w:t>
      </w:r>
      <w:r w:rsidR="00312476" w:rsidRPr="00604035">
        <w:t>vienu</w:t>
      </w:r>
      <w:r w:rsidR="006B252B" w:rsidRPr="00604035">
        <w:t>)</w:t>
      </w:r>
      <w:r w:rsidR="00312476" w:rsidRPr="00604035">
        <w:t xml:space="preserve"> reizi ceturksnī </w:t>
      </w:r>
      <w:r w:rsidRPr="00604035">
        <w:t xml:space="preserve">pēc </w:t>
      </w:r>
      <w:r w:rsidR="008946DD" w:rsidRPr="00604035">
        <w:t xml:space="preserve">Finansētāja </w:t>
      </w:r>
      <w:r w:rsidR="00C752B2" w:rsidRPr="00604035">
        <w:t>iesniegta</w:t>
      </w:r>
      <w:r w:rsidRPr="00604035">
        <w:t xml:space="preserve"> </w:t>
      </w:r>
      <w:r w:rsidR="00312476" w:rsidRPr="00604035">
        <w:t xml:space="preserve">Kompensācijas </w:t>
      </w:r>
      <w:r w:rsidR="00AC19DB" w:rsidRPr="00604035">
        <w:t>izmaksas pieteikum</w:t>
      </w:r>
      <w:r w:rsidR="008946DD" w:rsidRPr="00604035">
        <w:t xml:space="preserve">a </w:t>
      </w:r>
      <w:r w:rsidR="00312476" w:rsidRPr="00604035">
        <w:t xml:space="preserve">izvērtēšanas </w:t>
      </w:r>
      <w:r w:rsidRPr="00604035">
        <w:t xml:space="preserve">līdz </w:t>
      </w:r>
      <w:r w:rsidR="00C14FAB" w:rsidRPr="00604035">
        <w:t>F</w:t>
      </w:r>
      <w:r w:rsidR="007C4BB0" w:rsidRPr="00604035">
        <w:t xml:space="preserve">aktiskajai </w:t>
      </w:r>
      <w:r w:rsidR="00C14FAB" w:rsidRPr="00604035">
        <w:t>i</w:t>
      </w:r>
      <w:r w:rsidRPr="00604035">
        <w:t>erobežotajai garantij</w:t>
      </w:r>
      <w:r w:rsidR="00C14FAB" w:rsidRPr="00604035">
        <w:t>as</w:t>
      </w:r>
      <w:r w:rsidRPr="00604035">
        <w:t xml:space="preserve"> summai</w:t>
      </w:r>
      <w:r w:rsidR="00C14FAB" w:rsidRPr="00604035">
        <w:t xml:space="preserve">, kuru aprēķina saskaņā ar </w:t>
      </w:r>
      <w:r w:rsidR="009370E5" w:rsidRPr="00604035">
        <w:fldChar w:fldCharType="begin"/>
      </w:r>
      <w:r w:rsidR="009370E5" w:rsidRPr="00604035">
        <w:instrText xml:space="preserve"> REF _Ref45198878 \r \h </w:instrText>
      </w:r>
      <w:r w:rsidR="00604035" w:rsidRPr="00604035">
        <w:instrText xml:space="preserve"> \* MERGEFORMAT </w:instrText>
      </w:r>
      <w:r w:rsidR="009370E5" w:rsidRPr="00604035">
        <w:fldChar w:fldCharType="separate"/>
      </w:r>
      <w:r w:rsidR="00C579AC">
        <w:t>7.3</w:t>
      </w:r>
      <w:r w:rsidR="009370E5" w:rsidRPr="00604035">
        <w:fldChar w:fldCharType="end"/>
      </w:r>
      <w:r w:rsidR="00C14FAB" w:rsidRPr="00604035">
        <w:t>.punktā noteikto formulu.</w:t>
      </w:r>
      <w:r w:rsidRPr="00604035">
        <w:t xml:space="preserve"> Ja Kompensācijas izmaksas pieteikuma</w:t>
      </w:r>
      <w:r w:rsidR="00312476" w:rsidRPr="00604035">
        <w:t xml:space="preserve"> ceturkšņa</w:t>
      </w:r>
      <w:r w:rsidRPr="00604035">
        <w:t xml:space="preserve"> summa Kompensācijas izmaksas dienā ir lielāka par </w:t>
      </w:r>
      <w:r w:rsidR="00166080" w:rsidRPr="00604035">
        <w:t xml:space="preserve">Faktisko </w:t>
      </w:r>
      <w:r w:rsidRPr="00604035">
        <w:t xml:space="preserve">Ierobežoto garantijas summu, Kompensācijas izmaksas atlikums, kas pārsniedz Ierobežoto garantijas summu, Finansētājam var tikt izmaksāts tikai pēc tam, kad </w:t>
      </w:r>
      <w:r w:rsidR="00452799">
        <w:t xml:space="preserve">ALTUM </w:t>
      </w:r>
      <w:r w:rsidR="00760FE5">
        <w:t xml:space="preserve">ir veicis nākamo </w:t>
      </w:r>
      <w:proofErr w:type="spellStart"/>
      <w:r w:rsidR="00760FE5">
        <w:t>izvērtējumu</w:t>
      </w:r>
      <w:proofErr w:type="spellEnd"/>
      <w:r w:rsidR="00760FE5">
        <w:t xml:space="preserve"> saskaņā ar Līguma  </w:t>
      </w:r>
      <w:r w:rsidR="00760FE5">
        <w:fldChar w:fldCharType="begin"/>
      </w:r>
      <w:r w:rsidR="00760FE5">
        <w:instrText xml:space="preserve"> REF _Ref47419438 \r \h </w:instrText>
      </w:r>
      <w:r w:rsidR="00760FE5">
        <w:fldChar w:fldCharType="separate"/>
      </w:r>
      <w:r w:rsidR="00C579AC">
        <w:t>6.1</w:t>
      </w:r>
      <w:r w:rsidR="00760FE5">
        <w:fldChar w:fldCharType="end"/>
      </w:r>
      <w:r w:rsidR="00760FE5">
        <w:t>.punktu.</w:t>
      </w:r>
      <w:bookmarkStart w:id="15" w:name="_Ref497925031"/>
    </w:p>
    <w:p w14:paraId="7380BE03" w14:textId="26B9828E" w:rsidR="008375C4" w:rsidRPr="00604035" w:rsidRDefault="008375C4" w:rsidP="00736A36">
      <w:pPr>
        <w:pStyle w:val="BodyText"/>
      </w:pPr>
      <w:bookmarkStart w:id="16" w:name="_Ref45198878"/>
      <w:r w:rsidRPr="00604035">
        <w:t>Faktiskā ierobežo</w:t>
      </w:r>
      <w:r w:rsidR="0052473D" w:rsidRPr="00604035">
        <w:t>tā</w:t>
      </w:r>
      <w:r w:rsidRPr="00604035">
        <w:t xml:space="preserve"> garantijas summa tiek aprēķināta pēc šādas formulas:</w:t>
      </w:r>
      <w:bookmarkEnd w:id="15"/>
      <w:bookmarkEnd w:id="16"/>
    </w:p>
    <w:p w14:paraId="2D065B79" w14:textId="77777777" w:rsidR="008567B8" w:rsidRPr="00901D53" w:rsidRDefault="008375C4" w:rsidP="00736A36">
      <w:pPr>
        <w:pStyle w:val="BodyText"/>
        <w:numPr>
          <w:ilvl w:val="0"/>
          <w:numId w:val="0"/>
        </w:numPr>
        <w:ind w:left="720"/>
      </w:pPr>
      <w:r w:rsidRPr="00901D53">
        <w:t>F</w:t>
      </w:r>
      <w:r w:rsidR="0052473D" w:rsidRPr="00901D53">
        <w:t xml:space="preserve"> </w:t>
      </w:r>
      <w:r w:rsidRPr="00901D53">
        <w:t>= N x G x C, kur</w:t>
      </w:r>
    </w:p>
    <w:p w14:paraId="67EFF776" w14:textId="77777777" w:rsidR="008375C4" w:rsidRPr="00901D53" w:rsidRDefault="008375C4" w:rsidP="00736A36">
      <w:pPr>
        <w:pStyle w:val="BodyText"/>
        <w:numPr>
          <w:ilvl w:val="0"/>
          <w:numId w:val="0"/>
        </w:numPr>
        <w:ind w:left="720"/>
      </w:pPr>
      <w:r w:rsidRPr="00901D53">
        <w:t>F</w:t>
      </w:r>
      <w:r w:rsidR="0052473D" w:rsidRPr="00901D53">
        <w:t xml:space="preserve"> </w:t>
      </w:r>
      <w:r w:rsidRPr="00901D53">
        <w:t xml:space="preserve">- Faktiskā </w:t>
      </w:r>
      <w:r w:rsidR="00C14FAB" w:rsidRPr="00901D53">
        <w:t xml:space="preserve">ierobežotā </w:t>
      </w:r>
      <w:r w:rsidRPr="00901D53">
        <w:t>garantijas summa;</w:t>
      </w:r>
    </w:p>
    <w:p w14:paraId="7BF56725" w14:textId="17A5755E" w:rsidR="008375C4" w:rsidRPr="00901D53" w:rsidRDefault="008375C4" w:rsidP="00736A36">
      <w:pPr>
        <w:pStyle w:val="BodyText"/>
        <w:numPr>
          <w:ilvl w:val="0"/>
          <w:numId w:val="0"/>
        </w:numPr>
        <w:ind w:left="720"/>
      </w:pPr>
      <w:r w:rsidRPr="00901D53">
        <w:t>N</w:t>
      </w:r>
      <w:r w:rsidR="0052473D" w:rsidRPr="00901D53">
        <w:t xml:space="preserve"> </w:t>
      </w:r>
      <w:r w:rsidRPr="00901D53">
        <w:t xml:space="preserve">- </w:t>
      </w:r>
      <w:r w:rsidR="0052473D" w:rsidRPr="00901D53">
        <w:t xml:space="preserve">Aizdevumu </w:t>
      </w:r>
      <w:r w:rsidRPr="00901D53">
        <w:t xml:space="preserve">portfelī iekļautā un </w:t>
      </w:r>
      <w:r w:rsidR="001B1D00">
        <w:t xml:space="preserve">Līgumam un MK noteikumiem atbilstoši </w:t>
      </w:r>
      <w:r w:rsidRPr="00901D53">
        <w:t>izmaksātā Finanšu pakalpojuma summa;</w:t>
      </w:r>
    </w:p>
    <w:p w14:paraId="1082EB42" w14:textId="0BCA168E" w:rsidR="008375C4" w:rsidRPr="0031092F" w:rsidRDefault="008375C4" w:rsidP="00736A36">
      <w:pPr>
        <w:pStyle w:val="BodyText"/>
        <w:numPr>
          <w:ilvl w:val="0"/>
          <w:numId w:val="0"/>
        </w:numPr>
        <w:ind w:left="720"/>
      </w:pPr>
      <w:r w:rsidRPr="00901D53">
        <w:t>G</w:t>
      </w:r>
      <w:r w:rsidR="0052473D" w:rsidRPr="00901D53">
        <w:t xml:space="preserve"> </w:t>
      </w:r>
      <w:r w:rsidRPr="00901D53">
        <w:t>-</w:t>
      </w:r>
      <w:r w:rsidR="007C4BB0" w:rsidRPr="00901D53">
        <w:t xml:space="preserve"> </w:t>
      </w:r>
      <w:r w:rsidRPr="0031092F">
        <w:t xml:space="preserve">Garantijas </w:t>
      </w:r>
      <w:r w:rsidR="006E6329" w:rsidRPr="0031092F">
        <w:t xml:space="preserve">likme </w:t>
      </w:r>
      <w:r w:rsidR="00604035" w:rsidRPr="0031092F">
        <w:t>saskaņā ar Pielikumu Nr.1</w:t>
      </w:r>
      <w:r w:rsidRPr="0031092F">
        <w:t>;</w:t>
      </w:r>
    </w:p>
    <w:p w14:paraId="0987FD59" w14:textId="5AFFDC57" w:rsidR="008375C4" w:rsidRPr="0031092F" w:rsidRDefault="008375C4" w:rsidP="00736A36">
      <w:pPr>
        <w:pStyle w:val="BodyText"/>
        <w:numPr>
          <w:ilvl w:val="0"/>
          <w:numId w:val="0"/>
        </w:numPr>
        <w:ind w:left="720"/>
      </w:pPr>
      <w:r w:rsidRPr="0031092F">
        <w:t>C</w:t>
      </w:r>
      <w:r w:rsidR="0052473D" w:rsidRPr="0031092F">
        <w:t xml:space="preserve"> </w:t>
      </w:r>
      <w:r w:rsidRPr="0031092F">
        <w:t xml:space="preserve">- </w:t>
      </w:r>
      <w:r w:rsidR="0052473D" w:rsidRPr="0031092F">
        <w:t>I</w:t>
      </w:r>
      <w:r w:rsidRPr="0031092F">
        <w:t>erobežot</w:t>
      </w:r>
      <w:r w:rsidR="0052473D" w:rsidRPr="0031092F">
        <w:t>ais</w:t>
      </w:r>
      <w:r w:rsidRPr="0031092F">
        <w:t xml:space="preserve"> garantijas </w:t>
      </w:r>
      <w:r w:rsidR="00BE1B2D">
        <w:t>likme</w:t>
      </w:r>
      <w:r w:rsidR="00BE1B2D" w:rsidRPr="0031092F">
        <w:t xml:space="preserve"> </w:t>
      </w:r>
      <w:r w:rsidRPr="0031092F">
        <w:t>saskaņā ar Pielikumu Nr.1</w:t>
      </w:r>
      <w:r w:rsidR="00604035" w:rsidRPr="0031092F">
        <w:t>.</w:t>
      </w:r>
    </w:p>
    <w:p w14:paraId="0B7F4CB6" w14:textId="786E3DF7" w:rsidR="004B6803" w:rsidRPr="00931F4F" w:rsidRDefault="006E7EEF" w:rsidP="00736A36">
      <w:pPr>
        <w:pStyle w:val="BodyText"/>
      </w:pPr>
      <w:r>
        <w:t xml:space="preserve">Maksimālā </w:t>
      </w:r>
      <w:r w:rsidR="004B6803" w:rsidRPr="00427BFD">
        <w:t>Faktiski izmaksājamā garantija</w:t>
      </w:r>
      <w:r w:rsidR="00AC2EE0">
        <w:t>s</w:t>
      </w:r>
      <w:r w:rsidR="004B6803" w:rsidRPr="00427BFD">
        <w:t xml:space="preserve"> </w:t>
      </w:r>
      <w:proofErr w:type="spellStart"/>
      <w:r w:rsidR="004B6803" w:rsidRPr="00427BFD">
        <w:t>kopmensācija</w:t>
      </w:r>
      <w:proofErr w:type="spellEnd"/>
      <w:r w:rsidR="004B6803" w:rsidRPr="00427BFD">
        <w:t xml:space="preserve"> </w:t>
      </w:r>
      <w:r w:rsidR="004B6803" w:rsidRPr="00B81BCB">
        <w:t>tiek aprēķināta pēc šādas formulas:</w:t>
      </w:r>
    </w:p>
    <w:p w14:paraId="19C5FB38" w14:textId="13486551" w:rsidR="004B6803" w:rsidRPr="0031092F" w:rsidRDefault="004B6803" w:rsidP="00736A36">
      <w:pPr>
        <w:pStyle w:val="BodyText"/>
        <w:numPr>
          <w:ilvl w:val="0"/>
          <w:numId w:val="0"/>
        </w:numPr>
        <w:ind w:left="720"/>
      </w:pPr>
      <w:r w:rsidRPr="0031092F">
        <w:t>K</w:t>
      </w:r>
      <w:r w:rsidR="00FF2E45" w:rsidRPr="0031092F">
        <w:t xml:space="preserve"> </w:t>
      </w:r>
      <w:r w:rsidRPr="0031092F">
        <w:t>=</w:t>
      </w:r>
      <w:r w:rsidR="00FF2E45" w:rsidRPr="0031092F">
        <w:t xml:space="preserve"> </w:t>
      </w:r>
      <w:proofErr w:type="spellStart"/>
      <w:r w:rsidRPr="0031092F">
        <w:t>Px</w:t>
      </w:r>
      <w:proofErr w:type="spellEnd"/>
      <w:r w:rsidRPr="0031092F">
        <w:t>(G-</w:t>
      </w:r>
      <w:proofErr w:type="spellStart"/>
      <w:r w:rsidRPr="0031092F">
        <w:t>GxR</w:t>
      </w:r>
      <w:proofErr w:type="spellEnd"/>
      <w:r w:rsidRPr="0031092F">
        <w:t>), kur</w:t>
      </w:r>
    </w:p>
    <w:p w14:paraId="4BD0981F" w14:textId="59AB7D23" w:rsidR="004B6803" w:rsidRPr="0031092F" w:rsidRDefault="004B6803" w:rsidP="00736A36">
      <w:pPr>
        <w:pStyle w:val="BodyText"/>
        <w:numPr>
          <w:ilvl w:val="0"/>
          <w:numId w:val="0"/>
        </w:numPr>
        <w:ind w:left="720"/>
      </w:pPr>
      <w:r w:rsidRPr="0031092F">
        <w:t>K</w:t>
      </w:r>
      <w:r w:rsidR="00FF2E45" w:rsidRPr="0031092F">
        <w:t xml:space="preserve"> </w:t>
      </w:r>
      <w:r w:rsidRPr="0031092F">
        <w:t>-</w:t>
      </w:r>
      <w:r w:rsidR="00FF2E45" w:rsidRPr="0031092F">
        <w:t xml:space="preserve"> </w:t>
      </w:r>
      <w:r w:rsidRPr="0031092F">
        <w:t>izmaksājamā kompensācija;</w:t>
      </w:r>
    </w:p>
    <w:p w14:paraId="4B703B19" w14:textId="53BE03F6" w:rsidR="004B6803" w:rsidRPr="0031092F" w:rsidRDefault="004B6803" w:rsidP="00736A36">
      <w:pPr>
        <w:pStyle w:val="BodyText"/>
        <w:numPr>
          <w:ilvl w:val="0"/>
          <w:numId w:val="0"/>
        </w:numPr>
        <w:ind w:left="720"/>
      </w:pPr>
      <w:r w:rsidRPr="0031092F">
        <w:t>P</w:t>
      </w:r>
      <w:r w:rsidR="00FF2E45" w:rsidRPr="0031092F">
        <w:t xml:space="preserve"> </w:t>
      </w:r>
      <w:r w:rsidRPr="0031092F">
        <w:t>-</w:t>
      </w:r>
      <w:r w:rsidR="00FF2E45" w:rsidRPr="0031092F">
        <w:t xml:space="preserve"> kred</w:t>
      </w:r>
      <w:r w:rsidR="00FF2E45" w:rsidRPr="0031092F">
        <w:rPr>
          <w:rFonts w:hint="eastAsia"/>
        </w:rPr>
        <w:t>ī</w:t>
      </w:r>
      <w:r w:rsidR="00FF2E45" w:rsidRPr="0031092F">
        <w:t>tu pamatsummas atlikums</w:t>
      </w:r>
      <w:r w:rsidR="00AC2EE0">
        <w:t xml:space="preserve"> Garantijas gadījuma </w:t>
      </w:r>
      <w:proofErr w:type="spellStart"/>
      <w:r w:rsidR="00AC2EE0">
        <w:t>iestāšānās</w:t>
      </w:r>
      <w:proofErr w:type="spellEnd"/>
      <w:r w:rsidR="00AC2EE0">
        <w:t xml:space="preserve"> brīdī</w:t>
      </w:r>
      <w:r w:rsidR="0085288C" w:rsidRPr="0031092F">
        <w:t>;</w:t>
      </w:r>
    </w:p>
    <w:p w14:paraId="7964E5BD" w14:textId="46E7F5E1" w:rsidR="004B6803" w:rsidRDefault="004B6803" w:rsidP="00736A36">
      <w:pPr>
        <w:pStyle w:val="BodyText"/>
        <w:numPr>
          <w:ilvl w:val="0"/>
          <w:numId w:val="0"/>
        </w:numPr>
        <w:ind w:left="720"/>
      </w:pPr>
      <w:r w:rsidRPr="00427BFD">
        <w:t xml:space="preserve">G - Garantijas </w:t>
      </w:r>
      <w:r w:rsidRPr="00B81BCB">
        <w:t>likme saskaņā</w:t>
      </w:r>
      <w:r w:rsidRPr="00931F4F">
        <w:t xml:space="preserve"> ar </w:t>
      </w:r>
      <w:r w:rsidRPr="00925236">
        <w:t>Pielikumu</w:t>
      </w:r>
      <w:r w:rsidRPr="00901D53">
        <w:t xml:space="preserve"> Nr.1;</w:t>
      </w:r>
    </w:p>
    <w:p w14:paraId="7C2D856F" w14:textId="7E36B26B" w:rsidR="004B6803" w:rsidRDefault="004B6803" w:rsidP="00736A36">
      <w:pPr>
        <w:pStyle w:val="BodyText"/>
        <w:numPr>
          <w:ilvl w:val="0"/>
          <w:numId w:val="0"/>
        </w:numPr>
        <w:ind w:left="720"/>
      </w:pPr>
      <w:r>
        <w:t xml:space="preserve">R- </w:t>
      </w:r>
      <w:r w:rsidRPr="004B6803">
        <w:t>Fiks</w:t>
      </w:r>
      <w:r w:rsidRPr="004B6803">
        <w:rPr>
          <w:rFonts w:hint="eastAsia"/>
        </w:rPr>
        <w:t>ē</w:t>
      </w:r>
      <w:r w:rsidRPr="004B6803">
        <w:t>t</w:t>
      </w:r>
      <w:r w:rsidRPr="004B6803">
        <w:rPr>
          <w:rFonts w:hint="eastAsia"/>
        </w:rPr>
        <w:t>ā</w:t>
      </w:r>
      <w:r w:rsidRPr="004B6803">
        <w:t xml:space="preserve"> atg</w:t>
      </w:r>
      <w:r w:rsidRPr="004B6803">
        <w:rPr>
          <w:rFonts w:hint="eastAsia"/>
        </w:rPr>
        <w:t>ūš</w:t>
      </w:r>
      <w:r w:rsidRPr="004B6803">
        <w:t xml:space="preserve">anas likme </w:t>
      </w:r>
      <w:r>
        <w:t xml:space="preserve">saskaņā </w:t>
      </w:r>
      <w:r w:rsidRPr="00901D53">
        <w:t>ar Pielikumu Nr.1</w:t>
      </w:r>
    </w:p>
    <w:p w14:paraId="55EF7FF6" w14:textId="37FEFA07" w:rsidR="00C13F00" w:rsidRPr="00B30B06" w:rsidRDefault="00096BFA" w:rsidP="00736A36">
      <w:pPr>
        <w:pStyle w:val="BodyText"/>
      </w:pPr>
      <w:r w:rsidRPr="00901D53">
        <w:t xml:space="preserve">Kopējā izmaksājamā Kompensācijas summa nevar pārsniegt aprēķināto Ierobežoto garantijas summu, </w:t>
      </w:r>
      <w:r w:rsidR="00645074" w:rsidRPr="00901D53">
        <w:t xml:space="preserve">kas var tikt </w:t>
      </w:r>
      <w:r w:rsidR="00645074" w:rsidRPr="00B30B06">
        <w:t xml:space="preserve">izmaksāta </w:t>
      </w:r>
      <w:r w:rsidRPr="00B30B06">
        <w:t>Finansētāj</w:t>
      </w:r>
      <w:r w:rsidR="00645074" w:rsidRPr="00B30B06">
        <w:t>am</w:t>
      </w:r>
      <w:r w:rsidRPr="00B30B06">
        <w:t xml:space="preserve"> saskaņā ar Līguma</w:t>
      </w:r>
      <w:r w:rsidR="0099498B" w:rsidRPr="00B30B06">
        <w:t xml:space="preserve"> speciālajiem noteikumiem (P</w:t>
      </w:r>
      <w:r w:rsidRPr="00B30B06">
        <w:t>ielikum</w:t>
      </w:r>
      <w:r w:rsidR="0099498B" w:rsidRPr="00B30B06">
        <w:t>s</w:t>
      </w:r>
      <w:r w:rsidRPr="00B30B06">
        <w:t xml:space="preserve"> Nr.1</w:t>
      </w:r>
      <w:r w:rsidR="0099498B" w:rsidRPr="00B30B06">
        <w:t>)</w:t>
      </w:r>
      <w:r w:rsidRPr="00B30B06">
        <w:t>.</w:t>
      </w:r>
      <w:r w:rsidR="006E7EEF">
        <w:t xml:space="preserve"> Finansētājs ir tiesīgs iesniegt Kompensācijas izmaksas pieprasījumu arī par mazāku summu, nekā aprēķināta Maksimālā Faktiski izmaksājamā garantijas kompensācija saskaņā ar Līguma 7.4.punktu</w:t>
      </w:r>
      <w:r w:rsidR="00BB47AD">
        <w:t>, kā arī iesniegt to pa daļām</w:t>
      </w:r>
      <w:r w:rsidR="006E7EEF">
        <w:t xml:space="preserve">.   </w:t>
      </w:r>
    </w:p>
    <w:p w14:paraId="20F67341" w14:textId="7A1A1006" w:rsidR="00C13F00" w:rsidRPr="00244D91" w:rsidRDefault="005F4282" w:rsidP="00736A36">
      <w:pPr>
        <w:pStyle w:val="BodyText"/>
      </w:pPr>
      <w:r w:rsidRPr="005F4282">
        <w:t>Lēmums par Kompensācijas izmaksu vai tās atteikumu tiek pieņemts 30 (trīsdesmit) kalendāro dienu laikā pēc attiecīgā ceturkšņa Kompensāciju izmaksas pieteikuma izvērtēšanas, pamatojoties uz Finansētāja iesniegtu Kompensāciju izmaksas pieteikumu, kas sagatavots atbilstoši Līguma noteikumiem (Pielikums Nr.3) un nosūtīts ne vēlāk kā 6 (sešu) gadu laikā pēc Garantijas gadījuma iestāšanās (izņemot, ja Garantijas gadījums iestājies saistībā ar to, ka Kredīta ņēmējam pēc kredīta izmaksas uzsākšanas ir noteikta I vai II invaliditātes grupa vai tā tiek mainīta no vieglākas uz smagāku (uz I vai II grupu) – šādā gadījumā 6 (sešu) gadu termiņa tecējums sākas no dienas, kad ir pilnībā pabeigta kredīta izmaksāšana vai izmaksas turpināšana nav pieļaujama atbilstoši MK noteikumiem)</w:t>
      </w:r>
      <w:r w:rsidR="00841F60" w:rsidRPr="00244D91">
        <w:t>.</w:t>
      </w:r>
    </w:p>
    <w:p w14:paraId="12EE1255" w14:textId="58595832" w:rsidR="00B83F9E" w:rsidRPr="00244D91" w:rsidRDefault="00627EF4" w:rsidP="00736A36">
      <w:pPr>
        <w:pStyle w:val="BodyText"/>
      </w:pPr>
      <w:r w:rsidRPr="00244D91">
        <w:t>ALTUM</w:t>
      </w:r>
      <w:r w:rsidR="00C13F00" w:rsidRPr="00244D91">
        <w:t xml:space="preserve"> pieņem lēmumu par Kompensācijas izmaksu un</w:t>
      </w:r>
      <w:r w:rsidRPr="00244D91">
        <w:t xml:space="preserve"> </w:t>
      </w:r>
      <w:r w:rsidR="00B83F9E" w:rsidRPr="00244D91">
        <w:t>izmaksā Kompensāciju, ja Finansētājs, ņemot vērā Valsts Izglītības informācijas sistēm</w:t>
      </w:r>
      <w:r w:rsidR="00BE1B2D">
        <w:t>as</w:t>
      </w:r>
      <w:r w:rsidR="00B83F9E" w:rsidRPr="00244D91">
        <w:t xml:space="preserve"> Studējošo un absolventu reģistrā pieejamo informāciju, ir piešķīris un izsniedzis Finanšu pakalpojumu atbilstoši Līguma</w:t>
      </w:r>
      <w:r w:rsidR="00B30B06" w:rsidRPr="00244D91">
        <w:t xml:space="preserve"> </w:t>
      </w:r>
      <w:r w:rsidR="00B30B06" w:rsidRPr="00244D91">
        <w:fldChar w:fldCharType="begin"/>
      </w:r>
      <w:r w:rsidR="00B30B06" w:rsidRPr="00244D91">
        <w:instrText xml:space="preserve"> REF _Ref497143824 \r \h </w:instrText>
      </w:r>
      <w:r w:rsidR="00244D91">
        <w:instrText xml:space="preserve"> \* MERGEFORMAT </w:instrText>
      </w:r>
      <w:r w:rsidR="00B30B06" w:rsidRPr="00244D91">
        <w:fldChar w:fldCharType="separate"/>
      </w:r>
      <w:r w:rsidR="00C579AC">
        <w:t>4</w:t>
      </w:r>
      <w:r w:rsidR="00B30B06" w:rsidRPr="00244D91">
        <w:fldChar w:fldCharType="end"/>
      </w:r>
      <w:r w:rsidR="00B30B06" w:rsidRPr="00244D91">
        <w:t>.nodaļas</w:t>
      </w:r>
      <w:r w:rsidR="00B83F9E" w:rsidRPr="00244D91">
        <w:t xml:space="preserve"> nosacījumiem.</w:t>
      </w:r>
    </w:p>
    <w:p w14:paraId="12372B45" w14:textId="33D74DAD" w:rsidR="00C13F00" w:rsidRPr="00244D91" w:rsidRDefault="00627EF4" w:rsidP="00736A36">
      <w:pPr>
        <w:pStyle w:val="BodyText"/>
      </w:pPr>
      <w:r w:rsidRPr="00244D91">
        <w:t xml:space="preserve">Kompensācijas </w:t>
      </w:r>
      <w:r w:rsidR="00C13F00" w:rsidRPr="00244D91">
        <w:t xml:space="preserve">izmaksa Finansētājam tiek veikta 5 (piecu) darba dienu laikā pēc ALTUM lēmuma pieņemšanas par Kompensācijas izmaksu. </w:t>
      </w:r>
    </w:p>
    <w:p w14:paraId="4D0DBFBD" w14:textId="76D7D768" w:rsidR="00627EF4" w:rsidRPr="00244D91" w:rsidRDefault="00C13F00" w:rsidP="00736A36">
      <w:pPr>
        <w:pStyle w:val="BodyText"/>
      </w:pPr>
      <w:r w:rsidRPr="00244D91">
        <w:t>Par Kompensācijas izmaksas atteikumu ALTUM informē Finansētāju 5 (piecu) darba dienu laikā pēc ALTUM lēmuma pieņemšanas</w:t>
      </w:r>
      <w:r w:rsidR="00C52149" w:rsidRPr="00244D91">
        <w:t>, norādot neatbilstību Līguma</w:t>
      </w:r>
      <w:r w:rsidR="00B30B06" w:rsidRPr="00244D91">
        <w:t xml:space="preserve"> </w:t>
      </w:r>
      <w:r w:rsidR="00B30B06" w:rsidRPr="00244D91">
        <w:fldChar w:fldCharType="begin"/>
      </w:r>
      <w:r w:rsidR="00B30B06" w:rsidRPr="00244D91">
        <w:instrText xml:space="preserve"> REF _Ref497143824 \r \h </w:instrText>
      </w:r>
      <w:r w:rsidR="00244D91">
        <w:instrText xml:space="preserve"> \* MERGEFORMAT </w:instrText>
      </w:r>
      <w:r w:rsidR="00B30B06" w:rsidRPr="00244D91">
        <w:fldChar w:fldCharType="separate"/>
      </w:r>
      <w:r w:rsidR="00C579AC">
        <w:t>4</w:t>
      </w:r>
      <w:r w:rsidR="00B30B06" w:rsidRPr="00244D91">
        <w:fldChar w:fldCharType="end"/>
      </w:r>
      <w:r w:rsidR="00B30B06" w:rsidRPr="00244D91">
        <w:t>.nodaļas nosacījumiem</w:t>
      </w:r>
      <w:r w:rsidRPr="00244D91">
        <w:t>.</w:t>
      </w:r>
    </w:p>
    <w:p w14:paraId="238188FC" w14:textId="51AACC2A" w:rsidR="00627EF4" w:rsidRPr="00244D91" w:rsidRDefault="00627EF4" w:rsidP="00736A36">
      <w:pPr>
        <w:pStyle w:val="BodyText"/>
      </w:pPr>
      <w:r w:rsidRPr="00244D91">
        <w:t xml:space="preserve">Ja Kompensācijas </w:t>
      </w:r>
      <w:r w:rsidR="00AC19DB" w:rsidRPr="00244D91">
        <w:t>izmaksas pieteikumā</w:t>
      </w:r>
      <w:r w:rsidRPr="00244D91">
        <w:t xml:space="preserve"> tiek konstatētas neatbilstības, ALTUM</w:t>
      </w:r>
      <w:r w:rsidR="00D06B27" w:rsidRPr="00244D91">
        <w:t xml:space="preserve"> </w:t>
      </w:r>
      <w:r w:rsidRPr="00244D91">
        <w:t xml:space="preserve">lūdz neatbilstības izlabot un iesniegt koriģētu Kompensācijas </w:t>
      </w:r>
      <w:r w:rsidR="00AC19DB" w:rsidRPr="00244D91">
        <w:t>izmaksas pieteikumu</w:t>
      </w:r>
      <w:r w:rsidRPr="00244D91">
        <w:t>.</w:t>
      </w:r>
    </w:p>
    <w:p w14:paraId="4FF1F184" w14:textId="77777777" w:rsidR="00096BFA" w:rsidRPr="00244D91" w:rsidRDefault="00096BFA" w:rsidP="00736A36">
      <w:pPr>
        <w:pStyle w:val="BodyText"/>
      </w:pPr>
      <w:r w:rsidRPr="00244D91">
        <w:t xml:space="preserve">ALTUM ir tiesības jebkurā brīdī pēc saviem ieskatiem pieprasīt sniegt papildu </w:t>
      </w:r>
      <w:r w:rsidRPr="00244D91">
        <w:lastRenderedPageBreak/>
        <w:t>informāciju, kas ir saistīta ar Kompensācijas izmaksu</w:t>
      </w:r>
      <w:r w:rsidR="006E3F50" w:rsidRPr="00244D91">
        <w:t xml:space="preserve"> un Finanšu pakalpojumu</w:t>
      </w:r>
      <w:r w:rsidRPr="00244D91">
        <w:t>. Finansētājs piekrīt iesniegt ALTUM lūgto papildinformāciju. ALTUM izskata Kompensācijas izmaksas pieteikumu pēc visu pieprasīto dokumentu saņemšanas.</w:t>
      </w:r>
    </w:p>
    <w:p w14:paraId="623FD2D8" w14:textId="429B1FAD" w:rsidR="00096BFA" w:rsidRPr="00B30B06" w:rsidRDefault="00096BFA" w:rsidP="00736A36">
      <w:pPr>
        <w:pStyle w:val="BodyText"/>
      </w:pPr>
      <w:r w:rsidRPr="00901D53">
        <w:t>Finansētājam nekavējoties, bet ne vēlāk kā 7 (septiņu) kalendāro dienu laikā pēc fakta konstatēšanas</w:t>
      </w:r>
      <w:r w:rsidR="000D6BFE" w:rsidRPr="00901D53">
        <w:t xml:space="preserve"> un </w:t>
      </w:r>
      <w:r w:rsidR="00BC502F" w:rsidRPr="00901D53">
        <w:t xml:space="preserve">attiecīga </w:t>
      </w:r>
      <w:r w:rsidR="000D6BFE" w:rsidRPr="00901D53">
        <w:t>ALTUM paziņojuma saņemšanas</w:t>
      </w:r>
      <w:r w:rsidR="00BC502F" w:rsidRPr="00901D53">
        <w:t xml:space="preserve"> saskaņā ar </w:t>
      </w:r>
      <w:r w:rsidR="00BC502F" w:rsidRPr="00B30B06">
        <w:t xml:space="preserve">Līguma </w:t>
      </w:r>
      <w:r w:rsidR="00B30B06" w:rsidRPr="00B30B06">
        <w:fldChar w:fldCharType="begin"/>
      </w:r>
      <w:r w:rsidR="00B30B06" w:rsidRPr="00B30B06">
        <w:instrText xml:space="preserve"> REF _Ref45520975 \r \h </w:instrText>
      </w:r>
      <w:r w:rsidR="00B30B06">
        <w:instrText xml:space="preserve"> \* MERGEFORMAT </w:instrText>
      </w:r>
      <w:r w:rsidR="00B30B06" w:rsidRPr="00B30B06">
        <w:fldChar w:fldCharType="separate"/>
      </w:r>
      <w:r w:rsidR="00C579AC">
        <w:t>13.10</w:t>
      </w:r>
      <w:r w:rsidR="00B30B06" w:rsidRPr="00B30B06">
        <w:fldChar w:fldCharType="end"/>
      </w:r>
      <w:r w:rsidR="00BC502F" w:rsidRPr="00B30B06">
        <w:t>.punkta noteikumiem par informācijas apmaiņu</w:t>
      </w:r>
      <w:r w:rsidRPr="00B30B06">
        <w:t>, ir pienākums ALTUM kontā atmaksāt:</w:t>
      </w:r>
    </w:p>
    <w:p w14:paraId="4588A1DA" w14:textId="77777777" w:rsidR="00A63F39" w:rsidRPr="00901D53" w:rsidRDefault="007C3766" w:rsidP="002D0C92">
      <w:pPr>
        <w:pStyle w:val="BodyText"/>
        <w:numPr>
          <w:ilvl w:val="2"/>
          <w:numId w:val="14"/>
        </w:numPr>
      </w:pPr>
      <w:r w:rsidRPr="00901D53">
        <w:t>s</w:t>
      </w:r>
      <w:r w:rsidR="00A63F39" w:rsidRPr="00901D53">
        <w:t>ummu, kas pārsniedz Ierobežoto garantijas summu;</w:t>
      </w:r>
    </w:p>
    <w:p w14:paraId="25B60BED" w14:textId="7800073A" w:rsidR="00096BFA" w:rsidRPr="00901D53" w:rsidRDefault="009A5333" w:rsidP="002D0C92">
      <w:pPr>
        <w:pStyle w:val="BodyText"/>
        <w:numPr>
          <w:ilvl w:val="2"/>
          <w:numId w:val="14"/>
        </w:numPr>
      </w:pPr>
      <w:r w:rsidRPr="00901D53">
        <w:t xml:space="preserve">Līgumam </w:t>
      </w:r>
      <w:r w:rsidR="00096BFA" w:rsidRPr="00901D53">
        <w:t>neatbilstoša Finanšu pakalpojuma rezultātā iegūt</w:t>
      </w:r>
      <w:r w:rsidR="007C3766" w:rsidRPr="00901D53">
        <w:t>ā</w:t>
      </w:r>
      <w:r w:rsidR="00096BFA" w:rsidRPr="00901D53">
        <w:t>s Kompensācijas</w:t>
      </w:r>
      <w:r w:rsidR="00DF79AE" w:rsidRPr="00901D53">
        <w:t>.</w:t>
      </w:r>
    </w:p>
    <w:p w14:paraId="3422439E" w14:textId="74EF6D94" w:rsidR="00451A79" w:rsidRPr="00244D91" w:rsidRDefault="00451A79" w:rsidP="00736A36">
      <w:pPr>
        <w:pStyle w:val="BodyText"/>
      </w:pPr>
      <w:r w:rsidRPr="00901D53">
        <w:t>Kompensācija netiek izmaksāta</w:t>
      </w:r>
      <w:r w:rsidR="00953BE8" w:rsidRPr="00901D53">
        <w:t xml:space="preserve"> par Finanšu pakal</w:t>
      </w:r>
      <w:r w:rsidR="00CA44FD" w:rsidRPr="00901D53">
        <w:t>p</w:t>
      </w:r>
      <w:r w:rsidR="00953BE8" w:rsidRPr="00901D53">
        <w:t>ojumu</w:t>
      </w:r>
      <w:r w:rsidR="00CA44FD" w:rsidRPr="00901D53">
        <w:t xml:space="preserve"> daļu</w:t>
      </w:r>
      <w:r w:rsidRPr="00901D53">
        <w:t xml:space="preserve">, </w:t>
      </w:r>
      <w:r w:rsidR="00CA44FD" w:rsidRPr="00901D53">
        <w:t xml:space="preserve">kuru </w:t>
      </w:r>
      <w:r w:rsidRPr="00901D53">
        <w:t>Finan</w:t>
      </w:r>
      <w:r w:rsidR="00953BE8" w:rsidRPr="00901D53">
        <w:t>sē</w:t>
      </w:r>
      <w:r w:rsidRPr="00901D53">
        <w:t xml:space="preserve">tājs ir palielinājis </w:t>
      </w:r>
      <w:r w:rsidR="00CA44FD" w:rsidRPr="00901D53">
        <w:t xml:space="preserve">kā </w:t>
      </w:r>
      <w:r w:rsidRPr="00901D53">
        <w:t xml:space="preserve">Finanšu pakalpojuma pamatsummu, </w:t>
      </w:r>
      <w:r w:rsidRPr="00244D91">
        <w:t xml:space="preserve">kapitalizējot </w:t>
      </w:r>
      <w:r w:rsidR="00953BE8" w:rsidRPr="00244D91">
        <w:t xml:space="preserve">procentu maksājumus. </w:t>
      </w:r>
    </w:p>
    <w:p w14:paraId="74124CD5" w14:textId="55B88299" w:rsidR="00953BE8" w:rsidRPr="00901D53" w:rsidRDefault="00953BE8" w:rsidP="00736A36">
      <w:pPr>
        <w:pStyle w:val="BodyText"/>
      </w:pPr>
      <w:r w:rsidRPr="00901D53">
        <w:t>Kompensācija tiek izmaksāta tikai par Līgumam atbilstošu Finanšu pakalpojumu. Ja Finanšu pakal</w:t>
      </w:r>
      <w:r w:rsidR="00CA44FD" w:rsidRPr="00901D53">
        <w:t>p</w:t>
      </w:r>
      <w:r w:rsidRPr="00901D53">
        <w:t>ojuma daļa ir neatbilstoša Līgumam, par neatbilstošo daļu Kompensācija netiek izmaksāta.</w:t>
      </w:r>
    </w:p>
    <w:p w14:paraId="2B549AB8" w14:textId="67C03EFC" w:rsidR="0058515F" w:rsidRPr="00901D53" w:rsidRDefault="0058515F" w:rsidP="00736A36">
      <w:pPr>
        <w:pStyle w:val="BodyText"/>
        <w:numPr>
          <w:ilvl w:val="0"/>
          <w:numId w:val="0"/>
        </w:numPr>
        <w:ind w:left="720"/>
      </w:pPr>
    </w:p>
    <w:p w14:paraId="34EA0B82" w14:textId="3D934B37" w:rsidR="0058515F" w:rsidRPr="00244D91" w:rsidRDefault="0058515F" w:rsidP="00244D91">
      <w:pPr>
        <w:pStyle w:val="NoSpacing"/>
        <w:numPr>
          <w:ilvl w:val="0"/>
          <w:numId w:val="14"/>
        </w:numPr>
        <w:jc w:val="both"/>
        <w:rPr>
          <w:b/>
        </w:rPr>
      </w:pPr>
      <w:r w:rsidRPr="00244D91">
        <w:rPr>
          <w:rFonts w:ascii="Times New Roman" w:hAnsi="Times New Roman"/>
          <w:b/>
        </w:rPr>
        <w:t xml:space="preserve"> Pārbaudes</w:t>
      </w:r>
    </w:p>
    <w:p w14:paraId="11C85D0F" w14:textId="2CCB110D" w:rsidR="0058515F" w:rsidRPr="00901D53" w:rsidRDefault="0058515F" w:rsidP="00736A36">
      <w:pPr>
        <w:pStyle w:val="BodyText"/>
      </w:pPr>
      <w:r w:rsidRPr="00901D53">
        <w:t xml:space="preserve">Pēc ALTUM vai Līguma </w:t>
      </w:r>
      <w:r w:rsidR="009370E5" w:rsidRPr="00244D91">
        <w:fldChar w:fldCharType="begin"/>
      </w:r>
      <w:r w:rsidR="009370E5" w:rsidRPr="00244D91">
        <w:instrText xml:space="preserve"> REF _Ref45199053 \r \h </w:instrText>
      </w:r>
      <w:r w:rsidR="00CA44FD" w:rsidRPr="00901D53">
        <w:instrText xml:space="preserve"> \* MERGEFORMAT </w:instrText>
      </w:r>
      <w:r w:rsidR="009370E5" w:rsidRPr="00244D91">
        <w:fldChar w:fldCharType="separate"/>
      </w:r>
      <w:r w:rsidR="00C579AC">
        <w:t>6.5</w:t>
      </w:r>
      <w:r w:rsidR="009370E5" w:rsidRPr="00244D91">
        <w:fldChar w:fldCharType="end"/>
      </w:r>
      <w:r w:rsidRPr="00244D91">
        <w:t>.punktā</w:t>
      </w:r>
      <w:r w:rsidRPr="00901D53">
        <w:t xml:space="preserve"> minēto institūciju pieprasījuma Finansētājs sniedz informāciju un nodrošina pieeju visiem ar Kredīta ņēmēja iesniegtajiem un Finanšu pakalpojumu saistītajiem dokumentiem</w:t>
      </w:r>
      <w:r w:rsidR="0005691B">
        <w:t>, lai pārbaudītu atbilstību Līgumam un MK noteikumiem.</w:t>
      </w:r>
    </w:p>
    <w:p w14:paraId="720C473F" w14:textId="044E69EC" w:rsidR="0058515F" w:rsidRDefault="0058515F" w:rsidP="00736A36">
      <w:pPr>
        <w:pStyle w:val="BodyText"/>
      </w:pPr>
      <w:r w:rsidRPr="00901D53">
        <w:t xml:space="preserve">ALTUM un Līguma </w:t>
      </w:r>
      <w:r w:rsidR="009370E5" w:rsidRPr="00244D91">
        <w:fldChar w:fldCharType="begin"/>
      </w:r>
      <w:r w:rsidR="009370E5" w:rsidRPr="00244D91">
        <w:instrText xml:space="preserve"> REF _Ref45199053 \r \h </w:instrText>
      </w:r>
      <w:r w:rsidR="00CA44FD" w:rsidRPr="00901D53">
        <w:instrText xml:space="preserve"> \* MERGEFORMAT </w:instrText>
      </w:r>
      <w:r w:rsidR="009370E5" w:rsidRPr="00244D91">
        <w:fldChar w:fldCharType="separate"/>
      </w:r>
      <w:r w:rsidR="00C579AC">
        <w:t>6.5</w:t>
      </w:r>
      <w:r w:rsidR="009370E5" w:rsidRPr="00244D91">
        <w:fldChar w:fldCharType="end"/>
      </w:r>
      <w:r w:rsidR="008D39D0" w:rsidRPr="00244D91">
        <w:t>.</w:t>
      </w:r>
      <w:r w:rsidRPr="00244D91">
        <w:t>punktā</w:t>
      </w:r>
      <w:r w:rsidRPr="00901D53">
        <w:t xml:space="preserve"> minētās institūcijas pārbaudes var veikt un informāciju pieprasīt visā Līguma darbības laikā. Pārbaužu nepieciešamību nosaka ALTUM vai Līguma </w:t>
      </w:r>
      <w:r w:rsidR="009370E5" w:rsidRPr="00244D91">
        <w:fldChar w:fldCharType="begin"/>
      </w:r>
      <w:r w:rsidR="009370E5" w:rsidRPr="00244D91">
        <w:instrText xml:space="preserve"> REF _Ref45199053 \r \h </w:instrText>
      </w:r>
      <w:r w:rsidR="00CA44FD" w:rsidRPr="00901D53">
        <w:instrText xml:space="preserve"> \* MERGEFORMAT </w:instrText>
      </w:r>
      <w:r w:rsidR="009370E5" w:rsidRPr="00244D91">
        <w:fldChar w:fldCharType="separate"/>
      </w:r>
      <w:r w:rsidR="00C579AC">
        <w:t>6.5</w:t>
      </w:r>
      <w:r w:rsidR="009370E5" w:rsidRPr="00244D91">
        <w:fldChar w:fldCharType="end"/>
      </w:r>
      <w:r w:rsidRPr="00244D91">
        <w:t>.punktā</w:t>
      </w:r>
      <w:r w:rsidRPr="00901D53">
        <w:t xml:space="preserve"> minētās institūcijas</w:t>
      </w:r>
      <w:r w:rsidR="00F15BD2">
        <w:t>.</w:t>
      </w:r>
      <w:r w:rsidRPr="00901D53">
        <w:t xml:space="preserve"> </w:t>
      </w:r>
      <w:r w:rsidR="00F15BD2">
        <w:t>P</w:t>
      </w:r>
      <w:r w:rsidRPr="00901D53">
        <w:t xml:space="preserve">ārbaužu skaits nav ierobežots un tās </w:t>
      </w:r>
      <w:r w:rsidR="0005691B">
        <w:t>var tikt</w:t>
      </w:r>
      <w:r w:rsidR="0005691B" w:rsidRPr="00901D53">
        <w:t xml:space="preserve"> </w:t>
      </w:r>
      <w:r w:rsidRPr="00901D53">
        <w:t xml:space="preserve">veiktas Finansētāja biroja darba laikā, brīdinot par to Finansētāju </w:t>
      </w:r>
      <w:r w:rsidR="00C41D00">
        <w:t>vismaz 10</w:t>
      </w:r>
      <w:r w:rsidR="00C41D00" w:rsidRPr="00901D53">
        <w:t xml:space="preserve"> </w:t>
      </w:r>
      <w:r w:rsidRPr="00901D53">
        <w:t>(</w:t>
      </w:r>
      <w:r w:rsidR="00C41D00">
        <w:t>desmit</w:t>
      </w:r>
      <w:r w:rsidRPr="00901D53">
        <w:t>) darba dienas pirms plānotās pārbaudes, informējot par pārbaudes mērķi.</w:t>
      </w:r>
      <w:r w:rsidR="00835B4E">
        <w:t xml:space="preserve"> Pēc Finansētāja pieprasījuma pārbaudes uzsākšana tiek atlikta, bet ne ilgāk kā līdz 20 (divdesmit) darba dienām, lai nodrošinātu pieeju pārbaudes veikšanai nepieciešamajai informācijai un dokumentiem. </w:t>
      </w:r>
    </w:p>
    <w:p w14:paraId="4BBB99D6" w14:textId="318DE80F" w:rsidR="00753BDB" w:rsidRPr="00901D53" w:rsidRDefault="00753BDB" w:rsidP="00736A36">
      <w:pPr>
        <w:pStyle w:val="BodyText"/>
      </w:pPr>
      <w:r>
        <w:t xml:space="preserve">Papildus Līguma </w:t>
      </w:r>
      <w:r>
        <w:fldChar w:fldCharType="begin"/>
      </w:r>
      <w:r>
        <w:instrText xml:space="preserve"> REF _Ref497143824 \r \h </w:instrText>
      </w:r>
      <w:r>
        <w:fldChar w:fldCharType="separate"/>
      </w:r>
      <w:r w:rsidR="00C579AC">
        <w:t>4</w:t>
      </w:r>
      <w:r>
        <w:fldChar w:fldCharType="end"/>
      </w:r>
      <w:r>
        <w:t xml:space="preserve">.nodaļā noteiktajiem finanšu pakalpojumu atbilstības nosacījumiem, kurus </w:t>
      </w:r>
      <w:r w:rsidR="00452799">
        <w:t xml:space="preserve">ALTUM </w:t>
      </w:r>
      <w:r>
        <w:t xml:space="preserve">pārbauda, saskaņā ar Līguma </w:t>
      </w:r>
      <w:r>
        <w:fldChar w:fldCharType="begin"/>
      </w:r>
      <w:r>
        <w:instrText xml:space="preserve"> REF _Ref45521102 \r \h </w:instrText>
      </w:r>
      <w:r>
        <w:fldChar w:fldCharType="separate"/>
      </w:r>
      <w:r w:rsidR="00C579AC">
        <w:t>6.1</w:t>
      </w:r>
      <w:r>
        <w:fldChar w:fldCharType="end"/>
      </w:r>
      <w:r>
        <w:t xml:space="preserve">.punktu, </w:t>
      </w:r>
      <w:r w:rsidR="00452799">
        <w:t xml:space="preserve">ALTUM </w:t>
      </w:r>
      <w:r>
        <w:t xml:space="preserve">ir tiesības veikt Finansētāja pārbaudes par MK noteikumu </w:t>
      </w:r>
      <w:r w:rsidR="005F78FD">
        <w:t xml:space="preserve">7., 8., 16., 20., </w:t>
      </w:r>
      <w:r w:rsidR="00736A36">
        <w:t>21., 22., 23., 26., 27., 28., 30., 32., 34., 42., 43., 44.</w:t>
      </w:r>
      <w:r w:rsidR="007922C3">
        <w:t>punkta</w:t>
      </w:r>
      <w:r w:rsidR="00736A36">
        <w:t xml:space="preserve"> </w:t>
      </w:r>
      <w:r>
        <w:t>nosacījumu ievērošanu</w:t>
      </w:r>
      <w:r w:rsidR="008D1B1F">
        <w:t xml:space="preserve"> </w:t>
      </w:r>
      <w:r w:rsidR="008D1B1F" w:rsidRPr="007922C3">
        <w:t xml:space="preserve">attiecībā uz </w:t>
      </w:r>
      <w:proofErr w:type="spellStart"/>
      <w:r w:rsidR="008D1B1F" w:rsidRPr="007922C3">
        <w:t>Finansētaja</w:t>
      </w:r>
      <w:proofErr w:type="spellEnd"/>
      <w:r w:rsidR="008D1B1F" w:rsidRPr="007922C3">
        <w:t xml:space="preserve"> veiktajām darbībām, kas var ietekmēt ALTUM no šī Līguma izrietošo </w:t>
      </w:r>
      <w:proofErr w:type="spellStart"/>
      <w:r w:rsidR="008D1B1F" w:rsidRPr="007922C3">
        <w:t>saitību</w:t>
      </w:r>
      <w:proofErr w:type="spellEnd"/>
      <w:r w:rsidR="008D1B1F" w:rsidRPr="007922C3">
        <w:t xml:space="preserve"> apmēru</w:t>
      </w:r>
      <w:r>
        <w:t>. Minētās pārbaudes notiek intervijas vai sarakst</w:t>
      </w:r>
      <w:r w:rsidR="00F15BD2">
        <w:t>e</w:t>
      </w:r>
      <w:r>
        <w:t>s veidā, par kuru norises kārtību Puses atsevišķi vienojas.</w:t>
      </w:r>
    </w:p>
    <w:p w14:paraId="2D4CA3C1" w14:textId="75A8C256" w:rsidR="00096BFA" w:rsidRPr="00901D53" w:rsidRDefault="00096BFA" w:rsidP="00736A36">
      <w:pPr>
        <w:pStyle w:val="BodyText"/>
        <w:numPr>
          <w:ilvl w:val="0"/>
          <w:numId w:val="0"/>
        </w:numPr>
        <w:ind w:left="720"/>
      </w:pPr>
    </w:p>
    <w:p w14:paraId="7032F2FC" w14:textId="1C638235" w:rsidR="00214019" w:rsidRPr="00901D53" w:rsidRDefault="007C3766" w:rsidP="00244D91">
      <w:pPr>
        <w:pStyle w:val="NoSpacing"/>
        <w:numPr>
          <w:ilvl w:val="0"/>
          <w:numId w:val="14"/>
        </w:numPr>
        <w:jc w:val="both"/>
        <w:rPr>
          <w:rFonts w:ascii="Times New Roman" w:hAnsi="Times New Roman"/>
          <w:b/>
        </w:rPr>
      </w:pPr>
      <w:bookmarkStart w:id="17" w:name="_Ref497146052"/>
      <w:r w:rsidRPr="00901D53">
        <w:rPr>
          <w:rFonts w:ascii="Times New Roman" w:hAnsi="Times New Roman"/>
          <w:b/>
        </w:rPr>
        <w:t xml:space="preserve">Pārskatu </w:t>
      </w:r>
      <w:r w:rsidR="00096BFA" w:rsidRPr="00901D53">
        <w:rPr>
          <w:rFonts w:ascii="Times New Roman" w:hAnsi="Times New Roman"/>
          <w:b/>
        </w:rPr>
        <w:t>iesniegšana</w:t>
      </w:r>
      <w:bookmarkEnd w:id="17"/>
    </w:p>
    <w:p w14:paraId="746D6041" w14:textId="00F1C49D" w:rsidR="007511F5" w:rsidRDefault="007511F5" w:rsidP="00736A36">
      <w:pPr>
        <w:pStyle w:val="BodyText"/>
      </w:pPr>
      <w:r>
        <w:t xml:space="preserve">Finansētājs nodrošina, ka LB KR sistēmā tiek sniegts pilnvarojums ALTUM saņemt informāciju par Finanšu pakalpojumu līgumiem, attiecībā uz kuriem Finansētājs norādījis nodrošinājuma – </w:t>
      </w:r>
      <w:r w:rsidR="00452799">
        <w:t xml:space="preserve">ALTUM </w:t>
      </w:r>
      <w:r>
        <w:t>garantijas piesaistīšanu. Informācija, ko ALTUM saskaņā ar šo punktu saņem no LB KR, uzskatāma par</w:t>
      </w:r>
      <w:r w:rsidR="00D60446">
        <w:t xml:space="preserve"> pārskatu, kas apliecina Aizdevuma portfeļa apmēru LB KR informācijas saņemšanas dienā. </w:t>
      </w:r>
      <w:r>
        <w:t xml:space="preserve"> </w:t>
      </w:r>
    </w:p>
    <w:p w14:paraId="53640563" w14:textId="33E85E10" w:rsidR="00DF47C2" w:rsidRPr="00901D53" w:rsidRDefault="00DF47C2" w:rsidP="00736A36">
      <w:pPr>
        <w:pStyle w:val="BodyText"/>
      </w:pPr>
      <w:r>
        <w:t>Līguma darbības laikā, Pusēm vienojoties par pārskata veidlapu</w:t>
      </w:r>
      <w:r w:rsidR="007511F5">
        <w:t xml:space="preserve"> un regularitāti</w:t>
      </w:r>
      <w:r>
        <w:t>, ALTUM var lūgt Finansētājam sagatavot pārskatu par Aizdevuma portfeli</w:t>
      </w:r>
      <w:r w:rsidR="00760FE5">
        <w:t xml:space="preserve"> </w:t>
      </w:r>
      <w:r w:rsidR="00760FE5" w:rsidRPr="007511F5">
        <w:t>vai Programmas ieviešanu, ja ALTUM informāciju nevar iegūt LB KR vai VIIS</w:t>
      </w:r>
      <w:r>
        <w:t>.</w:t>
      </w:r>
    </w:p>
    <w:p w14:paraId="32F46396" w14:textId="77777777" w:rsidR="00096BFA" w:rsidRPr="00901D53" w:rsidRDefault="00096BFA" w:rsidP="00736A36">
      <w:pPr>
        <w:pStyle w:val="BodyText"/>
        <w:numPr>
          <w:ilvl w:val="0"/>
          <w:numId w:val="0"/>
        </w:numPr>
        <w:ind w:left="720"/>
      </w:pPr>
    </w:p>
    <w:p w14:paraId="25303311" w14:textId="77777777" w:rsidR="00096BFA" w:rsidRPr="00901D53" w:rsidRDefault="00096BFA" w:rsidP="00244D91">
      <w:pPr>
        <w:pStyle w:val="NoSpacing"/>
        <w:numPr>
          <w:ilvl w:val="0"/>
          <w:numId w:val="14"/>
        </w:numPr>
        <w:jc w:val="both"/>
        <w:rPr>
          <w:rFonts w:ascii="Times New Roman" w:hAnsi="Times New Roman"/>
          <w:b/>
        </w:rPr>
      </w:pPr>
      <w:r w:rsidRPr="00901D53">
        <w:rPr>
          <w:rFonts w:ascii="Times New Roman" w:hAnsi="Times New Roman"/>
          <w:b/>
        </w:rPr>
        <w:t>Konfidenciāla informācija</w:t>
      </w:r>
    </w:p>
    <w:p w14:paraId="4523CFF1" w14:textId="78D72580" w:rsidR="00096BFA" w:rsidRPr="00901D53" w:rsidRDefault="00096BFA" w:rsidP="00736A36">
      <w:pPr>
        <w:pStyle w:val="BodyText"/>
      </w:pPr>
      <w:r w:rsidRPr="00901D53">
        <w:t>Pušu Līguma ietvaros sniegto informāciju Puses uzskata par konfidenciālu, izņemot tādu informāciju, kura ir publiski pieejama saskaņā ar Latvijas Republikas normatīvajiem aktiem vai kuru kāda no Pusēm publicējusi, nepārkāpjot šo Līgumu, jebkuru Pušu starpā papildus noslēgto vienošanos, kas attiecināma uz Līguma izpildi, vai normatīvos aktus, un tādējādi darījusi pieejamu trešajām pusēm.</w:t>
      </w:r>
      <w:r w:rsidR="001E472A" w:rsidRPr="00901D53">
        <w:t xml:space="preserve"> ALTUM ir informēts par Kredītiestāžu likumā Finansētajam noteikto klienta </w:t>
      </w:r>
      <w:r w:rsidR="00134D82" w:rsidRPr="00901D53">
        <w:t>Finanšu pakalpojuma</w:t>
      </w:r>
      <w:r w:rsidR="001E472A" w:rsidRPr="00901D53">
        <w:t xml:space="preserve"> noslēpumu. </w:t>
      </w:r>
    </w:p>
    <w:p w14:paraId="09ED364F" w14:textId="6E17B26E" w:rsidR="007D1112" w:rsidRPr="00901D53" w:rsidRDefault="007D1112" w:rsidP="00736A36">
      <w:pPr>
        <w:pStyle w:val="BodyText"/>
      </w:pPr>
      <w:r w:rsidRPr="00901D53">
        <w:t xml:space="preserve">Pusēm nav tiesību bez iepriekšējas otras Puses rakstiskas piekrišanas sniegt </w:t>
      </w:r>
      <w:r w:rsidR="006B252B" w:rsidRPr="00901D53">
        <w:t xml:space="preserve">Līgumu vai </w:t>
      </w:r>
      <w:r w:rsidRPr="00901D53">
        <w:t>Līguma darbības laikā no otras Puses iegūtu konfidenciālu informāciju jebkurai trešajai personai, izņemot Līguma</w:t>
      </w:r>
      <w:r w:rsidR="00140F0F" w:rsidRPr="00901D53">
        <w:t xml:space="preserve"> </w:t>
      </w:r>
      <w:r w:rsidR="006B252B" w:rsidRPr="00244D91">
        <w:fldChar w:fldCharType="begin"/>
      </w:r>
      <w:r w:rsidR="006B252B" w:rsidRPr="00244D91">
        <w:instrText xml:space="preserve"> REF _Ref496011674 \r \h  \* MERGEFORMAT </w:instrText>
      </w:r>
      <w:r w:rsidR="006B252B" w:rsidRPr="00244D91">
        <w:fldChar w:fldCharType="separate"/>
      </w:r>
      <w:r w:rsidR="00C579AC">
        <w:t>10.3</w:t>
      </w:r>
      <w:r w:rsidR="006B252B" w:rsidRPr="00244D91">
        <w:fldChar w:fldCharType="end"/>
      </w:r>
      <w:r w:rsidR="00F15BD2">
        <w:t>.</w:t>
      </w:r>
      <w:r w:rsidR="00140F0F" w:rsidRPr="00901D53" w:rsidDel="00140F0F">
        <w:t xml:space="preserve"> </w:t>
      </w:r>
      <w:r w:rsidRPr="00901D53">
        <w:t>punktā un normatīvajos aktos tieši noteiktos gadījumus.</w:t>
      </w:r>
    </w:p>
    <w:p w14:paraId="6C491B6F" w14:textId="10BF2112" w:rsidR="007D1112" w:rsidRPr="00901D53" w:rsidRDefault="007D1112" w:rsidP="00736A36">
      <w:pPr>
        <w:pStyle w:val="BodyText"/>
      </w:pPr>
      <w:bookmarkStart w:id="18" w:name="_Ref496011674"/>
      <w:r w:rsidRPr="00901D53">
        <w:t xml:space="preserve">Finansētājs piekrīt un piešķir ALTUM tiesības Finansētāja sniegto informāciju bez </w:t>
      </w:r>
      <w:r w:rsidRPr="00901D53">
        <w:lastRenderedPageBreak/>
        <w:t xml:space="preserve">iepriekšējas Finansētāja piekrišanas saņemšanas nodot ALTUM uzraugošajām institūcijām </w:t>
      </w:r>
      <w:r w:rsidR="007B5119" w:rsidRPr="00901D53">
        <w:t xml:space="preserve">(piemēram, </w:t>
      </w:r>
      <w:r w:rsidR="00753BDB">
        <w:t xml:space="preserve">Izglītības un zinātnes ministrija, </w:t>
      </w:r>
      <w:r w:rsidR="00901D53" w:rsidRPr="00901D53">
        <w:t>Ekonomikas</w:t>
      </w:r>
      <w:r w:rsidR="001C69BF" w:rsidRPr="00901D53">
        <w:t xml:space="preserve"> ministrija, Finanšu ministrija kā Vadošā iestāde un Revīzijas iestāde, Valsts Kase, Eiropas Komisija</w:t>
      </w:r>
      <w:r w:rsidR="007B5119" w:rsidRPr="00901D53">
        <w:t xml:space="preserve">) </w:t>
      </w:r>
      <w:r w:rsidRPr="00901D53">
        <w:t xml:space="preserve">normatīvajos aktos, līgumos, kas ALTUM nosaka finansējuma piešķiršanas noteikumus </w:t>
      </w:r>
      <w:proofErr w:type="spellStart"/>
      <w:r w:rsidR="006214A4" w:rsidRPr="00901D53">
        <w:t>portfeļ</w:t>
      </w:r>
      <w:r w:rsidRPr="00901D53">
        <w:t>garantiju</w:t>
      </w:r>
      <w:proofErr w:type="spellEnd"/>
      <w:r w:rsidRPr="00901D53">
        <w:t xml:space="preserve"> programmu īstenošanai, un citos saistošajos dokumentos noteiktajos gadījumos.</w:t>
      </w:r>
      <w:bookmarkEnd w:id="18"/>
    </w:p>
    <w:p w14:paraId="4BAE6E01" w14:textId="6935CCF3" w:rsidR="007D1112" w:rsidRPr="00901D53" w:rsidRDefault="007D1112" w:rsidP="00736A36">
      <w:pPr>
        <w:pStyle w:val="BodyText"/>
      </w:pPr>
      <w:r w:rsidRPr="00901D53">
        <w:t>Ja informācija, kuru Finansētājs ir sniedzis ALTUM Līguma ietvaros, satur personas datus vai komercnoslēpumu, tad Finansētājs ir atbildīgs par šīs informācijas izpaušanas atbilstību normatīvo aktu prasībām, kā arī atbild par visiem zaudējumiem, kas rodas trešajām personām šīs informācijas nelikumīgas izpaušanas rezultātā</w:t>
      </w:r>
      <w:r w:rsidR="00867C05" w:rsidRPr="00901D53">
        <w:t>.</w:t>
      </w:r>
    </w:p>
    <w:p w14:paraId="7DBEFFCA" w14:textId="6C26073C" w:rsidR="007D1112" w:rsidRPr="00901D53" w:rsidRDefault="007D1112" w:rsidP="00736A36">
      <w:pPr>
        <w:pStyle w:val="BodyText"/>
      </w:pPr>
      <w:r w:rsidRPr="00901D53">
        <w:t xml:space="preserve">Puses apņemas nodrošināt un saņemt visas nepieciešamās piekrišanas, lai tās varētu lietot Līgumā minēto informāciju un veikt datu apstrādi par </w:t>
      </w:r>
      <w:r w:rsidR="005C360D" w:rsidRPr="00901D53">
        <w:t>Kredīta ņēmēju</w:t>
      </w:r>
      <w:r w:rsidRPr="00901D53">
        <w:t>, kā arī Puses apņemas nodrošināt personu datu apstrādi atbilstoši normatīvajos aktos noteiktajai kārtībai.</w:t>
      </w:r>
    </w:p>
    <w:p w14:paraId="113B2F61" w14:textId="77777777" w:rsidR="00CE3866" w:rsidRPr="00901D53" w:rsidRDefault="00CE3866" w:rsidP="00736A36">
      <w:pPr>
        <w:pStyle w:val="BodyText"/>
        <w:numPr>
          <w:ilvl w:val="0"/>
          <w:numId w:val="0"/>
        </w:numPr>
        <w:ind w:left="720"/>
      </w:pPr>
    </w:p>
    <w:p w14:paraId="648931DB" w14:textId="77777777" w:rsidR="00096BFA" w:rsidRPr="00901D53" w:rsidRDefault="00096BFA" w:rsidP="00244D91">
      <w:pPr>
        <w:pStyle w:val="NoSpacing"/>
        <w:numPr>
          <w:ilvl w:val="0"/>
          <w:numId w:val="14"/>
        </w:numPr>
        <w:jc w:val="both"/>
        <w:rPr>
          <w:rFonts w:ascii="Times New Roman" w:hAnsi="Times New Roman"/>
          <w:b/>
        </w:rPr>
      </w:pPr>
      <w:r w:rsidRPr="00901D53">
        <w:rPr>
          <w:rFonts w:ascii="Times New Roman" w:hAnsi="Times New Roman"/>
          <w:b/>
        </w:rPr>
        <w:t>Līguma darbība un izbeigšana</w:t>
      </w:r>
    </w:p>
    <w:p w14:paraId="7E4A844F" w14:textId="77777777" w:rsidR="00096BFA" w:rsidRPr="00901D53" w:rsidRDefault="00B80883" w:rsidP="00736A36">
      <w:pPr>
        <w:pStyle w:val="BodyText"/>
        <w:rPr>
          <w:rFonts w:eastAsia="Calibri"/>
        </w:rPr>
      </w:pPr>
      <w:r w:rsidRPr="00901D53">
        <w:rPr>
          <w:rFonts w:eastAsia="Calibri"/>
        </w:rPr>
        <w:t xml:space="preserve">Līgums stājas spēkā ar </w:t>
      </w:r>
      <w:r w:rsidR="00423802" w:rsidRPr="00901D53">
        <w:rPr>
          <w:rFonts w:eastAsia="Calibri"/>
        </w:rPr>
        <w:t>tā</w:t>
      </w:r>
      <w:r w:rsidRPr="00901D53">
        <w:rPr>
          <w:rFonts w:eastAsia="Calibri"/>
        </w:rPr>
        <w:t xml:space="preserve"> parakstīšan</w:t>
      </w:r>
      <w:r w:rsidR="00423802" w:rsidRPr="00901D53">
        <w:rPr>
          <w:rFonts w:eastAsia="Calibri"/>
        </w:rPr>
        <w:t>as</w:t>
      </w:r>
      <w:r w:rsidRPr="00901D53">
        <w:rPr>
          <w:rFonts w:eastAsia="Calibri"/>
        </w:rPr>
        <w:t xml:space="preserve"> dienu </w:t>
      </w:r>
      <w:r w:rsidR="00096BFA" w:rsidRPr="00901D53">
        <w:rPr>
          <w:rFonts w:eastAsia="Calibri"/>
        </w:rPr>
        <w:t>un tiek noslēgts uz laiku</w:t>
      </w:r>
      <w:r w:rsidR="007B5119" w:rsidRPr="00901D53">
        <w:rPr>
          <w:rFonts w:eastAsia="Calibri"/>
        </w:rPr>
        <w:t xml:space="preserve"> līdz Puses ir izpildījušas Līgumā noteiktās saistības</w:t>
      </w:r>
      <w:r w:rsidR="00096BFA" w:rsidRPr="00901D53">
        <w:rPr>
          <w:rFonts w:eastAsia="Calibri"/>
        </w:rPr>
        <w:t>.</w:t>
      </w:r>
    </w:p>
    <w:p w14:paraId="0BC2BE2B" w14:textId="77777777" w:rsidR="00510A61" w:rsidRPr="00901D53" w:rsidRDefault="00510A61" w:rsidP="00736A36">
      <w:pPr>
        <w:pStyle w:val="BodyText"/>
        <w:rPr>
          <w:rFonts w:eastAsia="Calibri"/>
        </w:rPr>
      </w:pPr>
      <w:r w:rsidRPr="00901D53">
        <w:rPr>
          <w:rFonts w:eastAsia="Calibri"/>
        </w:rPr>
        <w:t>Finansētājs ir tiesīgs vienpusēji izbeigt Līguma darbību, nosūtot ALTUM rakstisku paziņojumu 2 (divus) mēnešus pirms Līguma darbības termiņa izbeigšanas dienas. Līguma darbība tiek izbeigta Pusēm rakstiski vienojoties, un atrunājot spēkā esošo Garantiju turpmākās darbības nosacījumus.</w:t>
      </w:r>
    </w:p>
    <w:p w14:paraId="490627A6" w14:textId="70FFD5BD" w:rsidR="00096BFA" w:rsidRPr="00901D53" w:rsidRDefault="00510A61" w:rsidP="00736A36">
      <w:pPr>
        <w:pStyle w:val="BodyText"/>
        <w:rPr>
          <w:rFonts w:eastAsia="Calibri"/>
        </w:rPr>
      </w:pPr>
      <w:bookmarkStart w:id="19" w:name="_Ref501550902"/>
      <w:r w:rsidRPr="00901D53">
        <w:rPr>
          <w:rFonts w:eastAsia="Calibri"/>
        </w:rPr>
        <w:t>ALTUM ir tiesības nekavējoties vienpusēji izbeigt Līguma darbību. ALTUM par Līguma izbeigšanu informē Finansētāju</w:t>
      </w:r>
      <w:r w:rsidR="00033B67" w:rsidRPr="00901D53">
        <w:rPr>
          <w:rFonts w:eastAsia="Calibri"/>
        </w:rPr>
        <w:t xml:space="preserve"> </w:t>
      </w:r>
      <w:r w:rsidR="00D60446">
        <w:rPr>
          <w:rFonts w:eastAsia="Calibri"/>
        </w:rPr>
        <w:t>2 (divus) mēnešus</w:t>
      </w:r>
      <w:r w:rsidR="00033B67" w:rsidRPr="00901D53">
        <w:rPr>
          <w:rFonts w:eastAsia="Calibri"/>
        </w:rPr>
        <w:t xml:space="preserve"> pirms Līguma izbeigšanas</w:t>
      </w:r>
      <w:r w:rsidRPr="00901D53">
        <w:rPr>
          <w:rFonts w:eastAsia="Calibri"/>
        </w:rPr>
        <w:t>, nosūtot Finansētājam vēstuli ar drošu elektronisko parakstu un Finansētājs ar šo brīdi pārtrauc Finanšu pakalpojumu iekļaušanu</w:t>
      </w:r>
      <w:r w:rsidR="003B237B">
        <w:rPr>
          <w:rFonts w:eastAsia="Calibri"/>
        </w:rPr>
        <w:t xml:space="preserve"> (proti, jaunu Finanšu pakalpojumu līgumu noslēgšanu)</w:t>
      </w:r>
      <w:r w:rsidRPr="00901D53">
        <w:rPr>
          <w:rFonts w:eastAsia="Calibri"/>
        </w:rPr>
        <w:t xml:space="preserve"> Aizdevumu portfelī. </w:t>
      </w:r>
      <w:r w:rsidR="00CC4056" w:rsidRPr="00901D53">
        <w:rPr>
          <w:rFonts w:eastAsia="Calibri"/>
        </w:rPr>
        <w:t xml:space="preserve">Ar Līguma izbeigšanu tā darbība </w:t>
      </w:r>
      <w:r w:rsidR="006009C6" w:rsidRPr="00901D53">
        <w:rPr>
          <w:rFonts w:eastAsia="Calibri"/>
        </w:rPr>
        <w:t xml:space="preserve">tomēr turpina </w:t>
      </w:r>
      <w:r w:rsidR="00CC4056" w:rsidRPr="00901D53">
        <w:rPr>
          <w:rFonts w:eastAsia="Calibri"/>
        </w:rPr>
        <w:t>attie</w:t>
      </w:r>
      <w:r w:rsidR="006009C6" w:rsidRPr="00901D53">
        <w:rPr>
          <w:rFonts w:eastAsia="Calibri"/>
        </w:rPr>
        <w:t>kties</w:t>
      </w:r>
      <w:r w:rsidR="00CC4056" w:rsidRPr="00901D53">
        <w:rPr>
          <w:rFonts w:eastAsia="Calibri"/>
        </w:rPr>
        <w:t xml:space="preserve"> un paliek spēkā attiecībā uz </w:t>
      </w:r>
      <w:r w:rsidR="006009C6" w:rsidRPr="00901D53">
        <w:rPr>
          <w:rFonts w:eastAsia="Calibri"/>
        </w:rPr>
        <w:t>jau izsniegtajām Garantijām Līguma ietvaros un šīs Pušu attiecības turpina reg</w:t>
      </w:r>
      <w:r w:rsidR="005D70C2" w:rsidRPr="00901D53">
        <w:rPr>
          <w:rFonts w:eastAsia="Calibri"/>
        </w:rPr>
        <w:t>u</w:t>
      </w:r>
      <w:r w:rsidR="006009C6" w:rsidRPr="00901D53">
        <w:rPr>
          <w:rFonts w:eastAsia="Calibri"/>
        </w:rPr>
        <w:t>lēt Līguma noteikumi līdz brīdim, kad</w:t>
      </w:r>
      <w:r w:rsidR="003B237B">
        <w:rPr>
          <w:rFonts w:eastAsia="Calibri"/>
        </w:rPr>
        <w:t xml:space="preserve"> Kredīta ņēmējs atmaksā</w:t>
      </w:r>
      <w:r w:rsidR="006009C6" w:rsidRPr="00901D53">
        <w:rPr>
          <w:rFonts w:eastAsia="Calibri"/>
        </w:rPr>
        <w:t xml:space="preserve"> pēdēj</w:t>
      </w:r>
      <w:r w:rsidR="003B237B">
        <w:rPr>
          <w:rFonts w:eastAsia="Calibri"/>
        </w:rPr>
        <w:t>o</w:t>
      </w:r>
      <w:r w:rsidR="006009C6" w:rsidRPr="00901D53">
        <w:rPr>
          <w:rFonts w:eastAsia="Calibri"/>
        </w:rPr>
        <w:t xml:space="preserve"> Finanšu pakalpojum</w:t>
      </w:r>
      <w:r w:rsidR="003B237B">
        <w:rPr>
          <w:rFonts w:eastAsia="Calibri"/>
        </w:rPr>
        <w:t>u</w:t>
      </w:r>
      <w:r w:rsidR="006009C6" w:rsidRPr="00901D53">
        <w:rPr>
          <w:rFonts w:eastAsia="Calibri"/>
        </w:rPr>
        <w:t xml:space="preserve">, par kuru sniegta Garantija. </w:t>
      </w:r>
      <w:bookmarkEnd w:id="19"/>
    </w:p>
    <w:p w14:paraId="0C2BF5B5" w14:textId="77777777" w:rsidR="00096BFA" w:rsidRPr="00901D53" w:rsidRDefault="00096BFA" w:rsidP="00736A36">
      <w:pPr>
        <w:pStyle w:val="BodyText"/>
        <w:numPr>
          <w:ilvl w:val="0"/>
          <w:numId w:val="0"/>
        </w:numPr>
        <w:ind w:left="720"/>
      </w:pPr>
    </w:p>
    <w:p w14:paraId="0D7DD189" w14:textId="77777777" w:rsidR="00096BFA" w:rsidRPr="00901D53" w:rsidRDefault="00096BFA" w:rsidP="00244D91">
      <w:pPr>
        <w:pStyle w:val="NoSpacing"/>
        <w:numPr>
          <w:ilvl w:val="0"/>
          <w:numId w:val="14"/>
        </w:numPr>
        <w:jc w:val="both"/>
        <w:rPr>
          <w:rFonts w:ascii="Times New Roman" w:hAnsi="Times New Roman"/>
          <w:b/>
        </w:rPr>
      </w:pPr>
      <w:r w:rsidRPr="00901D53">
        <w:rPr>
          <w:rFonts w:ascii="Times New Roman" w:hAnsi="Times New Roman"/>
          <w:b/>
        </w:rPr>
        <w:t>Dokumentu uzglabāšana</w:t>
      </w:r>
    </w:p>
    <w:p w14:paraId="2EDC31C3" w14:textId="07BBFD17" w:rsidR="00096BFA" w:rsidRPr="00901D53" w:rsidRDefault="00096BFA" w:rsidP="00736A36">
      <w:pPr>
        <w:pStyle w:val="BodyText"/>
        <w:rPr>
          <w:rFonts w:eastAsia="Calibri"/>
        </w:rPr>
      </w:pPr>
      <w:r w:rsidRPr="00901D53">
        <w:rPr>
          <w:rFonts w:eastAsia="Calibri"/>
        </w:rPr>
        <w:t>Finansētājs</w:t>
      </w:r>
      <w:r w:rsidR="00A33059">
        <w:rPr>
          <w:rFonts w:eastAsia="Calibri"/>
        </w:rPr>
        <w:t xml:space="preserve"> un </w:t>
      </w:r>
      <w:r w:rsidRPr="00901D53">
        <w:rPr>
          <w:rFonts w:eastAsia="Calibri"/>
        </w:rPr>
        <w:t>ALTUM nodrošina dokumentācijas uzglabāšanu</w:t>
      </w:r>
      <w:r w:rsidR="003F09D5" w:rsidRPr="00901D53">
        <w:rPr>
          <w:rFonts w:eastAsia="Calibri"/>
        </w:rPr>
        <w:t xml:space="preserve"> </w:t>
      </w:r>
      <w:r w:rsidR="00A33059">
        <w:rPr>
          <w:rFonts w:eastAsia="Calibri"/>
        </w:rPr>
        <w:t>atbilstoši Finansētāja un ALTUM iekšējām kārtības procedūrām.</w:t>
      </w:r>
    </w:p>
    <w:p w14:paraId="506DDA22" w14:textId="77777777" w:rsidR="00096BFA" w:rsidRPr="00901D53" w:rsidRDefault="00096BFA" w:rsidP="00736A36">
      <w:pPr>
        <w:pStyle w:val="BodyText"/>
        <w:numPr>
          <w:ilvl w:val="0"/>
          <w:numId w:val="0"/>
        </w:numPr>
        <w:ind w:left="720"/>
      </w:pPr>
    </w:p>
    <w:p w14:paraId="21563175" w14:textId="77777777" w:rsidR="00096BFA" w:rsidRPr="00901D53" w:rsidRDefault="00096BFA" w:rsidP="00244D91">
      <w:pPr>
        <w:pStyle w:val="NoSpacing"/>
        <w:numPr>
          <w:ilvl w:val="0"/>
          <w:numId w:val="14"/>
        </w:numPr>
        <w:jc w:val="both"/>
        <w:rPr>
          <w:rFonts w:ascii="Times New Roman" w:hAnsi="Times New Roman"/>
          <w:b/>
        </w:rPr>
      </w:pPr>
      <w:r w:rsidRPr="00901D53">
        <w:rPr>
          <w:rFonts w:ascii="Times New Roman" w:hAnsi="Times New Roman"/>
          <w:b/>
        </w:rPr>
        <w:t>Nobeiguma noteikumi</w:t>
      </w:r>
    </w:p>
    <w:p w14:paraId="02B40696" w14:textId="4A4EF44D" w:rsidR="00096BFA" w:rsidRPr="00901D53" w:rsidRDefault="00096BFA" w:rsidP="00736A36">
      <w:pPr>
        <w:pStyle w:val="BodyText"/>
        <w:rPr>
          <w:rFonts w:eastAsia="Calibri"/>
        </w:rPr>
      </w:pPr>
      <w:r w:rsidRPr="00901D53">
        <w:rPr>
          <w:rFonts w:eastAsia="Calibri"/>
        </w:rPr>
        <w:t>Pusēm nav tiesību nodot savas, no Līguma izrietošās saistības trešajām personām bez otras Puses iepriekšējas rakstiskas piekrišanas</w:t>
      </w:r>
      <w:r w:rsidR="00420C4D" w:rsidRPr="00901D53">
        <w:rPr>
          <w:rFonts w:eastAsia="Calibri"/>
        </w:rPr>
        <w:t xml:space="preserve">, izņemot gadījumā, ja notiek </w:t>
      </w:r>
      <w:r w:rsidR="001C69BF" w:rsidRPr="00901D53">
        <w:rPr>
          <w:rFonts w:eastAsia="Calibri"/>
        </w:rPr>
        <w:t>Finansētāja</w:t>
      </w:r>
      <w:r w:rsidR="00420C4D" w:rsidRPr="00901D53">
        <w:rPr>
          <w:rFonts w:eastAsia="Calibri"/>
        </w:rPr>
        <w:t xml:space="preserve"> pāreja vai reorganizācija Finansētāja uzņēmuma grupas ietvaros</w:t>
      </w:r>
      <w:r w:rsidR="00A33059">
        <w:rPr>
          <w:rFonts w:eastAsia="Calibri"/>
        </w:rPr>
        <w:t>, izņemot gadījumus, kad Finansētājs nodod savas prasījuma tiesības pret Kredīta ņēmēju parāda piedziņai pēc Kompensācijas izmaksas.</w:t>
      </w:r>
    </w:p>
    <w:p w14:paraId="4F6D5AFE" w14:textId="77777777" w:rsidR="007A15CF" w:rsidRPr="00901D53" w:rsidRDefault="003A0AAD" w:rsidP="00736A36">
      <w:pPr>
        <w:pStyle w:val="BodyText"/>
        <w:rPr>
          <w:rFonts w:eastAsia="Calibri"/>
        </w:rPr>
      </w:pPr>
      <w:r w:rsidRPr="00901D53">
        <w:t xml:space="preserve">Puses apliecina, ka tās uzskatāmas par patstāvīgiem pārziņiem attiecībā uz Līguma ietvaros apstrādājamajiem personu datiem un saistībā ar personu datu apstrādi apņemas veikt visus nepieciešamos tehniskos un organizatoriskos pasākumus, lai tā atbilstu  spēkā esošo </w:t>
      </w:r>
      <w:r w:rsidR="00444896" w:rsidRPr="00901D53">
        <w:t xml:space="preserve">normatīvo </w:t>
      </w:r>
      <w:r w:rsidRPr="00901D53">
        <w:t>aktu prasībām</w:t>
      </w:r>
      <w:r w:rsidR="007A15CF" w:rsidRPr="00901D53">
        <w:rPr>
          <w:rFonts w:eastAsia="Calibri"/>
        </w:rPr>
        <w:t>.</w:t>
      </w:r>
    </w:p>
    <w:p w14:paraId="3148AC73" w14:textId="77777777" w:rsidR="007A15CF" w:rsidRPr="00901D53" w:rsidRDefault="007A15CF" w:rsidP="00736A36">
      <w:pPr>
        <w:pStyle w:val="BodyText"/>
        <w:rPr>
          <w:rFonts w:eastAsia="Calibri"/>
        </w:rPr>
      </w:pPr>
      <w:r w:rsidRPr="00901D53">
        <w:rPr>
          <w:rFonts w:eastAsia="Calibri"/>
        </w:rPr>
        <w:t>Puse</w:t>
      </w:r>
      <w:r w:rsidR="003A0AAD" w:rsidRPr="00901D53">
        <w:rPr>
          <w:rFonts w:eastAsia="Calibri"/>
        </w:rPr>
        <w:t xml:space="preserve">s </w:t>
      </w:r>
      <w:r w:rsidR="003A0AAD" w:rsidRPr="00901D53">
        <w:t>vienojas, ka atbilstoši tiesību aktos norādītajām prasībām tās nodrošinās datu subjektu informēšanu par viņa personas datu apstrādi, kas tiek veikta šī Līguma ietvaros, kā arī nepieciešamības gadījumā saņems datu subjekta piekrišanu viņa personas datu apstrādei attiecīgajam nolūkam/-</w:t>
      </w:r>
      <w:proofErr w:type="spellStart"/>
      <w:r w:rsidR="003A0AAD" w:rsidRPr="00901D53">
        <w:t>iem</w:t>
      </w:r>
      <w:proofErr w:type="spellEnd"/>
      <w:r w:rsidRPr="00901D53">
        <w:rPr>
          <w:rFonts w:eastAsia="Calibri"/>
        </w:rPr>
        <w:t>.</w:t>
      </w:r>
    </w:p>
    <w:p w14:paraId="4C0C9104" w14:textId="77777777" w:rsidR="007A15CF" w:rsidRPr="00901D53" w:rsidRDefault="007A15CF" w:rsidP="00736A36">
      <w:pPr>
        <w:pStyle w:val="BodyText"/>
        <w:rPr>
          <w:rFonts w:eastAsia="Calibri"/>
        </w:rPr>
      </w:pPr>
      <w:r w:rsidRPr="00901D53">
        <w:rPr>
          <w:rFonts w:eastAsia="Calibri"/>
        </w:rPr>
        <w:t>Puses apņemas nenodot tālāk trešajām personām no otras Puses iegūtos personu datus, izņemot gadījumus, kad Līgumā ir noteikts citādāk vai normatīvie akti paredz šādu datu nodošanu.</w:t>
      </w:r>
    </w:p>
    <w:p w14:paraId="19242D1C" w14:textId="77777777" w:rsidR="007A15CF" w:rsidRPr="00901D53" w:rsidRDefault="007A15CF" w:rsidP="00736A36">
      <w:pPr>
        <w:pStyle w:val="BodyText"/>
        <w:rPr>
          <w:rFonts w:eastAsia="Calibri"/>
        </w:rPr>
      </w:pPr>
      <w:r w:rsidRPr="00901D53">
        <w:rPr>
          <w:rFonts w:eastAsia="Calibri"/>
        </w:rPr>
        <w:t>Ja saskaņā ar tiesību normatīvajiem aktiem Pusēm var rasties pienākums nodot tālāk trešajām personām no otras Puses iegūtos personu datus, tās pirms šādu datu nodošanas informē par to otru Pusi, ja vien normatīvie akti to neaizliedz.</w:t>
      </w:r>
    </w:p>
    <w:p w14:paraId="62E707BC" w14:textId="77777777" w:rsidR="007A15CF" w:rsidRPr="00901D53" w:rsidRDefault="007A15CF" w:rsidP="00736A36">
      <w:pPr>
        <w:pStyle w:val="BodyText"/>
        <w:rPr>
          <w:rFonts w:eastAsia="Calibri"/>
        </w:rPr>
      </w:pPr>
      <w:r w:rsidRPr="00901D53">
        <w:rPr>
          <w:rFonts w:eastAsia="Calibri"/>
        </w:rPr>
        <w:t xml:space="preserve">Visi trešo personu prasījumi, kas var rasties Līguma darbības laikā par personas datu </w:t>
      </w:r>
      <w:r w:rsidRPr="00901D53">
        <w:rPr>
          <w:rFonts w:eastAsia="Calibri"/>
        </w:rPr>
        <w:lastRenderedPageBreak/>
        <w:t>apstrādes pārkāpumiem, ir tās Puses atbildība, kuras atbildības jomā un rīcības rezultātā prasījumi ir radušies/var rasties.</w:t>
      </w:r>
    </w:p>
    <w:p w14:paraId="5420B51A" w14:textId="18A24C1A" w:rsidR="00E052BD" w:rsidRPr="00901D53" w:rsidRDefault="00E052BD" w:rsidP="00736A36">
      <w:pPr>
        <w:pStyle w:val="BodyText"/>
        <w:rPr>
          <w:rFonts w:eastAsia="Calibri"/>
        </w:rPr>
      </w:pPr>
      <w:r w:rsidRPr="00901D53">
        <w:rPr>
          <w:rFonts w:eastAsia="Calibri"/>
        </w:rPr>
        <w:t xml:space="preserve">ALTUM ir informēta, ka Finansētājs veic personas datu apstrādi saskaņā ar </w:t>
      </w:r>
      <w:r w:rsidR="00B27416" w:rsidRPr="00901D53">
        <w:rPr>
          <w:rFonts w:eastAsia="Calibri"/>
        </w:rPr>
        <w:t xml:space="preserve">Finansētāja </w:t>
      </w:r>
      <w:r w:rsidRPr="00901D53">
        <w:rPr>
          <w:rFonts w:eastAsia="Calibri"/>
        </w:rPr>
        <w:t>Privātuma politiku, kas pieejama Finansētāja mājaslapā: (</w:t>
      </w:r>
      <w:r w:rsidR="00020A16" w:rsidRPr="00901D53">
        <w:rPr>
          <w:rFonts w:eastAsia="Calibri"/>
        </w:rPr>
        <w:t>https</w:t>
      </w:r>
      <w:r w:rsidR="00893CCA" w:rsidRPr="00901D53">
        <w:rPr>
          <w:rFonts w:eastAsia="Calibri"/>
        </w:rPr>
        <w:t>://</w:t>
      </w:r>
      <w:r w:rsidR="00A02FFE">
        <w:rPr>
          <w:rFonts w:eastAsia="Calibri"/>
        </w:rPr>
        <w:t>-</w:t>
      </w:r>
      <w:r w:rsidR="00A02FFE" w:rsidRPr="004D2A14">
        <w:rPr>
          <w:rFonts w:eastAsia="Calibri"/>
          <w:highlight w:val="yellow"/>
        </w:rPr>
        <w:t>______</w:t>
      </w:r>
      <w:r w:rsidR="00893CCA" w:rsidRPr="004D2A14">
        <w:rPr>
          <w:rFonts w:eastAsia="Calibri"/>
          <w:highlight w:val="yellow"/>
        </w:rPr>
        <w:t>”</w:t>
      </w:r>
      <w:r w:rsidR="00893CCA" w:rsidRPr="00901D53">
        <w:rPr>
          <w:rFonts w:eastAsia="Calibri"/>
        </w:rPr>
        <w:t xml:space="preserve">) </w:t>
      </w:r>
      <w:r w:rsidR="00094585" w:rsidRPr="00901D53">
        <w:rPr>
          <w:rFonts w:eastAsia="Calibri"/>
        </w:rPr>
        <w:t>un Finansētājs ir informē</w:t>
      </w:r>
      <w:r w:rsidR="0007682E" w:rsidRPr="00901D53">
        <w:rPr>
          <w:rFonts w:eastAsia="Calibri"/>
        </w:rPr>
        <w:t>t</w:t>
      </w:r>
      <w:r w:rsidR="00094585" w:rsidRPr="00901D53">
        <w:rPr>
          <w:rFonts w:eastAsia="Calibri"/>
        </w:rPr>
        <w:t>s, ka ALTUM veic personas datu apstrādi saskaņā ar ALTUM Privātuma politiku, kas pieejama ALTUM mājaslapā: (</w:t>
      </w:r>
      <w:r w:rsidR="00F55A95" w:rsidRPr="00901D53">
        <w:rPr>
          <w:rFonts w:eastAsia="Calibri"/>
        </w:rPr>
        <w:t>https://www.altum.lv/lv/privatuma-politika/</w:t>
      </w:r>
      <w:r w:rsidR="00094585" w:rsidRPr="00901D53">
        <w:rPr>
          <w:rFonts w:eastAsia="Calibri"/>
        </w:rPr>
        <w:t>)</w:t>
      </w:r>
      <w:r w:rsidRPr="00901D53">
        <w:rPr>
          <w:rFonts w:eastAsia="Calibri"/>
        </w:rPr>
        <w:t>.</w:t>
      </w:r>
    </w:p>
    <w:p w14:paraId="05D07F50" w14:textId="77777777" w:rsidR="00096BFA" w:rsidRPr="00901D53" w:rsidRDefault="00096BFA" w:rsidP="00736A36">
      <w:pPr>
        <w:pStyle w:val="BodyText"/>
        <w:rPr>
          <w:rFonts w:eastAsia="Calibri"/>
        </w:rPr>
      </w:pPr>
      <w:r w:rsidRPr="00901D53">
        <w:rPr>
          <w:rFonts w:eastAsia="Calibri"/>
        </w:rPr>
        <w:t xml:space="preserve"> Puses vienojas, ka visas Līguma ietvaros izsniegtās Garantijas un no tām izrietošās Pušu tiesības un pienākumi tiek apspriesti pēc Līguma </w:t>
      </w:r>
      <w:r w:rsidR="001A3A96" w:rsidRPr="00901D53">
        <w:rPr>
          <w:rFonts w:eastAsia="Calibri"/>
        </w:rPr>
        <w:t xml:space="preserve">nosacījumiem </w:t>
      </w:r>
      <w:r w:rsidRPr="00901D53">
        <w:rPr>
          <w:rFonts w:eastAsia="Calibri"/>
        </w:rPr>
        <w:t>un spēkā esošajiem normatīvajiem aktiem.</w:t>
      </w:r>
    </w:p>
    <w:p w14:paraId="2AB0E3E0" w14:textId="77777777" w:rsidR="00E37A28" w:rsidRPr="00901D53" w:rsidRDefault="0053229F" w:rsidP="00736A36">
      <w:pPr>
        <w:pStyle w:val="BodyText"/>
        <w:rPr>
          <w:rFonts w:eastAsia="Calibri"/>
        </w:rPr>
      </w:pPr>
      <w:r w:rsidRPr="00901D53">
        <w:rPr>
          <w:rFonts w:eastAsia="Calibri"/>
        </w:rPr>
        <w:t xml:space="preserve">ALTUM, vienojoties ar Finansētāju, var mainīt Līguma pielikumu veidlapas. Par izmaiņām ALTUM informē Finansētāju, nosūtot Finansētājam elektronisku paziņojumu un izvietojot dokumentu aktuālās redakcijas ALTUM interneta </w:t>
      </w:r>
      <w:r w:rsidR="001B299C" w:rsidRPr="00901D53">
        <w:rPr>
          <w:rFonts w:eastAsia="Calibri"/>
        </w:rPr>
        <w:t>tīmekļa viet</w:t>
      </w:r>
      <w:r w:rsidR="00F12DF1" w:rsidRPr="00901D53">
        <w:rPr>
          <w:rFonts w:eastAsia="Calibri"/>
        </w:rPr>
        <w:t>nē</w:t>
      </w:r>
      <w:r w:rsidRPr="00901D53">
        <w:rPr>
          <w:rFonts w:eastAsia="Calibri"/>
        </w:rPr>
        <w:t>: www.altum.lv.</w:t>
      </w:r>
    </w:p>
    <w:p w14:paraId="5F22CA9C" w14:textId="48B550C8" w:rsidR="00096BFA" w:rsidRPr="00901D53" w:rsidRDefault="00954DA8" w:rsidP="00736A36">
      <w:pPr>
        <w:pStyle w:val="BodyText"/>
        <w:rPr>
          <w:rFonts w:eastAsia="Calibri"/>
        </w:rPr>
      </w:pPr>
      <w:bookmarkStart w:id="20" w:name="_Ref45520975"/>
      <w:r w:rsidRPr="00901D53">
        <w:t xml:space="preserve">Informācija un dokumenti Līguma izpildes sakarā Pušu starpā tiek nosūtīti elektroniski, izmantojot ALTUM Klientu portālu mans.altum.lv, turpmāk tekstā – Sistēma, saskaņā ar Sistēmas pakalpojuma noteikumiem, kas pieejami ALTUM interneta mājas lapā </w:t>
      </w:r>
      <w:hyperlink r:id="rId8" w:history="1">
        <w:r w:rsidRPr="00901D53">
          <w:rPr>
            <w:rStyle w:val="Hyperlink"/>
            <w:color w:val="auto"/>
          </w:rPr>
          <w:t>www.altum.lv</w:t>
        </w:r>
      </w:hyperlink>
      <w:r w:rsidR="00096BFA" w:rsidRPr="00901D53">
        <w:rPr>
          <w:rFonts w:eastAsia="Calibri"/>
        </w:rPr>
        <w:t>.</w:t>
      </w:r>
      <w:bookmarkEnd w:id="20"/>
      <w:r w:rsidR="00096BFA" w:rsidRPr="00901D53">
        <w:rPr>
          <w:rFonts w:eastAsia="Calibri"/>
        </w:rPr>
        <w:t xml:space="preserve"> </w:t>
      </w:r>
    </w:p>
    <w:p w14:paraId="54C3B264" w14:textId="77777777" w:rsidR="00096BFA" w:rsidRPr="00901D53" w:rsidRDefault="00096BFA" w:rsidP="00736A36">
      <w:pPr>
        <w:pStyle w:val="BodyText"/>
        <w:rPr>
          <w:rFonts w:eastAsia="Calibri"/>
        </w:rPr>
      </w:pPr>
      <w:r w:rsidRPr="00901D53">
        <w:rPr>
          <w:rFonts w:eastAsia="Calibri"/>
        </w:rPr>
        <w:t xml:space="preserve"> </w:t>
      </w:r>
      <w:r w:rsidR="00954DA8" w:rsidRPr="00901D53">
        <w:t>Iesniedzot dokumentus, izmantojot Sistēmu, jāievēro šādi nosacījumi</w:t>
      </w:r>
      <w:r w:rsidRPr="00901D53">
        <w:rPr>
          <w:rFonts w:eastAsia="Calibri"/>
        </w:rPr>
        <w:t>:</w:t>
      </w:r>
    </w:p>
    <w:p w14:paraId="729F797F" w14:textId="77777777" w:rsidR="00954DA8" w:rsidRPr="00901D53" w:rsidRDefault="00954DA8" w:rsidP="002D0C92">
      <w:pPr>
        <w:pStyle w:val="BodyText"/>
        <w:numPr>
          <w:ilvl w:val="2"/>
          <w:numId w:val="14"/>
        </w:numPr>
        <w:rPr>
          <w:rFonts w:eastAsia="Calibri"/>
        </w:rPr>
      </w:pPr>
      <w:r w:rsidRPr="00901D53">
        <w:t>katru dokumentu, kurš ir uz vairākām lapām, jāsaglabā vienā .PDF failā, un šajā failā drīkst būt tikai viens dokuments;</w:t>
      </w:r>
    </w:p>
    <w:p w14:paraId="6B04EECD" w14:textId="77777777" w:rsidR="00954DA8" w:rsidRPr="00901D53" w:rsidRDefault="00954DA8" w:rsidP="002D0C92">
      <w:pPr>
        <w:pStyle w:val="BodyText"/>
        <w:numPr>
          <w:ilvl w:val="2"/>
          <w:numId w:val="14"/>
        </w:numPr>
        <w:rPr>
          <w:rFonts w:eastAsia="Calibri"/>
        </w:rPr>
      </w:pPr>
      <w:r w:rsidRPr="00901D53">
        <w:t>iesniedzamo failu formāti ir norādīti Sistēmas pakalpojuma noteikumos;</w:t>
      </w:r>
    </w:p>
    <w:p w14:paraId="374A1D71" w14:textId="23A7E9A6" w:rsidR="00954DA8" w:rsidRPr="00901D53" w:rsidRDefault="00954DA8" w:rsidP="002D0C92">
      <w:pPr>
        <w:pStyle w:val="BodyText"/>
        <w:numPr>
          <w:ilvl w:val="2"/>
          <w:numId w:val="14"/>
        </w:numPr>
        <w:rPr>
          <w:rFonts w:eastAsia="Calibri"/>
        </w:rPr>
      </w:pPr>
      <w:r w:rsidRPr="00901D53">
        <w:t>dokumentam ir jābūt ieskenētam ar 200 vai 300 DPI izšķirtspēju, melnbaltam (BLACK &amp; WHITE) un saspiestam ar CCITT 4 metodi</w:t>
      </w:r>
      <w:r w:rsidR="008D39D0" w:rsidRPr="00901D53">
        <w:t>.</w:t>
      </w:r>
    </w:p>
    <w:p w14:paraId="31585257" w14:textId="5621FF9F" w:rsidR="00954DA8" w:rsidRPr="00901D53" w:rsidRDefault="00954DA8" w:rsidP="00736A36">
      <w:pPr>
        <w:pStyle w:val="BodyText"/>
        <w:rPr>
          <w:rFonts w:eastAsia="Calibri"/>
        </w:rPr>
      </w:pPr>
      <w:r w:rsidRPr="00901D53">
        <w:rPr>
          <w:rFonts w:eastAsia="Calibri"/>
        </w:rPr>
        <w:t xml:space="preserve"> Parakstot Līgumu</w:t>
      </w:r>
      <w:r w:rsidR="00F15BD2">
        <w:rPr>
          <w:rFonts w:eastAsia="Calibri"/>
        </w:rPr>
        <w:t>,</w:t>
      </w:r>
      <w:r w:rsidRPr="00901D53">
        <w:rPr>
          <w:rFonts w:eastAsia="Calibri"/>
        </w:rPr>
        <w:t xml:space="preserve"> </w:t>
      </w:r>
      <w:r w:rsidR="008D5BB1">
        <w:rPr>
          <w:rFonts w:eastAsia="Calibri"/>
        </w:rPr>
        <w:t xml:space="preserve">Puses </w:t>
      </w:r>
      <w:r w:rsidRPr="00901D53">
        <w:t>vienojas, ka dokumenti, kas nosūtīti, ievērojot Līgumā noteikto kārtību</w:t>
      </w:r>
      <w:r w:rsidR="00F15BD2">
        <w:t>,</w:t>
      </w:r>
      <w:r w:rsidRPr="00901D53">
        <w:t xml:space="preserve"> uzskatāmi par autentiskiem un Puses atzīst tos par sev saistošiem. Izvairoties no pārpratumiem, Puses vienojas, ka Finansētājs nosaka to personu loku, fiziskas personas, kuras Finansētāja vārdā, izmantojot Sistēmu, ir tiesīgas Līguma ietvaros iesniegt dokumentus ALTUM un Finansētājs</w:t>
      </w:r>
      <w:r w:rsidR="00B66992">
        <w:t xml:space="preserve"> un ALTUM</w:t>
      </w:r>
      <w:r w:rsidRPr="00901D53">
        <w:t xml:space="preserve"> atzīst, ka jebkuri dokumenti, kas iesniegti, </w:t>
      </w:r>
      <w:r w:rsidR="00901D53" w:rsidRPr="00901D53">
        <w:t>izmantojot</w:t>
      </w:r>
      <w:r w:rsidRPr="00901D53">
        <w:t xml:space="preserve"> sistēmu, Finansētājam </w:t>
      </w:r>
      <w:r w:rsidR="00B66992">
        <w:t>vai attiecīgi ALTUM</w:t>
      </w:r>
      <w:r w:rsidR="00F15BD2">
        <w:t>,</w:t>
      </w:r>
      <w:r w:rsidR="00B66992">
        <w:t xml:space="preserve"> </w:t>
      </w:r>
      <w:r w:rsidRPr="00901D53">
        <w:t>ir saistoši un derīgi bez droša elektroniskā paraksta.</w:t>
      </w:r>
    </w:p>
    <w:p w14:paraId="245BA8BA" w14:textId="77777777" w:rsidR="00096BFA" w:rsidRPr="00901D53" w:rsidRDefault="00954DA8" w:rsidP="00736A36">
      <w:pPr>
        <w:pStyle w:val="BodyText"/>
        <w:rPr>
          <w:rFonts w:eastAsia="Calibri"/>
        </w:rPr>
      </w:pPr>
      <w:r w:rsidRPr="00901D53">
        <w:rPr>
          <w:rFonts w:eastAsia="Calibri"/>
        </w:rPr>
        <w:t>Lai sekmētu Līgumā paredzēto pienākumu izpildi</w:t>
      </w:r>
      <w:r w:rsidR="00096BFA" w:rsidRPr="00901D53">
        <w:rPr>
          <w:rFonts w:eastAsia="Calibri"/>
        </w:rPr>
        <w:t>:</w:t>
      </w:r>
    </w:p>
    <w:p w14:paraId="6B64A83B" w14:textId="77777777" w:rsidR="00096BFA" w:rsidRPr="00901D53" w:rsidRDefault="00954DA8" w:rsidP="002D0C92">
      <w:pPr>
        <w:pStyle w:val="BodyText"/>
        <w:numPr>
          <w:ilvl w:val="2"/>
          <w:numId w:val="14"/>
        </w:numPr>
        <w:rPr>
          <w:rFonts w:eastAsia="Calibri"/>
        </w:rPr>
      </w:pPr>
      <w:r w:rsidRPr="00901D53">
        <w:rPr>
          <w:rFonts w:eastAsia="Calibri"/>
        </w:rPr>
        <w:t>katra puse izvirza savu par Līgumu izpildes kontroli</w:t>
      </w:r>
      <w:r w:rsidR="00EF210E" w:rsidRPr="00901D53">
        <w:rPr>
          <w:rFonts w:eastAsia="Calibri"/>
        </w:rPr>
        <w:t xml:space="preserve"> </w:t>
      </w:r>
      <w:r w:rsidRPr="00901D53">
        <w:rPr>
          <w:rFonts w:eastAsia="Calibri"/>
        </w:rPr>
        <w:t>atbi</w:t>
      </w:r>
      <w:r w:rsidR="00EF210E" w:rsidRPr="00901D53">
        <w:rPr>
          <w:rFonts w:eastAsia="Calibri"/>
        </w:rPr>
        <w:t>l</w:t>
      </w:r>
      <w:r w:rsidRPr="00901D53">
        <w:rPr>
          <w:rFonts w:eastAsia="Calibri"/>
        </w:rPr>
        <w:t xml:space="preserve">dīgo kontaktpersonu, turpmāk tekstā – Kontaktpersona. Kontaktpersonas vārdu, uzvārdu, kontakttālruni un e-pasta adresi Puses viena otrai </w:t>
      </w:r>
      <w:proofErr w:type="spellStart"/>
      <w:r w:rsidRPr="00901D53">
        <w:rPr>
          <w:rFonts w:eastAsia="Calibri"/>
        </w:rPr>
        <w:t>nosūta</w:t>
      </w:r>
      <w:proofErr w:type="spellEnd"/>
      <w:r w:rsidRPr="00901D53">
        <w:rPr>
          <w:rFonts w:eastAsia="Calibri"/>
        </w:rPr>
        <w:t xml:space="preserve"> elektroniski uz šajā punktā norādītajām e-pasta adresēm</w:t>
      </w:r>
      <w:r w:rsidR="00096BFA" w:rsidRPr="00901D53">
        <w:rPr>
          <w:rFonts w:eastAsia="Calibri"/>
        </w:rPr>
        <w:t>;</w:t>
      </w:r>
    </w:p>
    <w:p w14:paraId="0F96D646" w14:textId="71586A39" w:rsidR="00954DA8" w:rsidRPr="00901D53" w:rsidRDefault="00096BFA" w:rsidP="002D0C92">
      <w:pPr>
        <w:pStyle w:val="BodyText"/>
        <w:numPr>
          <w:ilvl w:val="2"/>
          <w:numId w:val="14"/>
        </w:numPr>
        <w:rPr>
          <w:rFonts w:eastAsia="Calibri"/>
        </w:rPr>
      </w:pPr>
      <w:r w:rsidRPr="00901D53">
        <w:rPr>
          <w:rFonts w:eastAsia="Calibri"/>
        </w:rPr>
        <w:t>Finansētāj</w:t>
      </w:r>
      <w:r w:rsidR="00954DA8" w:rsidRPr="00901D53">
        <w:rPr>
          <w:rFonts w:eastAsia="Calibri"/>
        </w:rPr>
        <w:t xml:space="preserve">s izvirza atbildīgo personu par Sistēmas lietošanu, turpmāk tekstā – Sistēmas administrators. Finansētājs Sistēmas administratora vārdu, uzvārdu, personas kodu, kontakttālruni un e-pasta adresi </w:t>
      </w:r>
      <w:proofErr w:type="spellStart"/>
      <w:r w:rsidR="00954DA8" w:rsidRPr="00901D53">
        <w:rPr>
          <w:rFonts w:eastAsia="Calibri"/>
        </w:rPr>
        <w:t>nosūta</w:t>
      </w:r>
      <w:proofErr w:type="spellEnd"/>
      <w:r w:rsidR="00954DA8" w:rsidRPr="00901D53">
        <w:rPr>
          <w:rFonts w:eastAsia="Calibri"/>
        </w:rPr>
        <w:t xml:space="preserve"> elektroniski, dokumentu parakstot ar drošu elektronisko parakstu, uz šajā punktā norādīto ALTUM e-pasta adresi</w:t>
      </w:r>
      <w:r w:rsidR="00F15BD2">
        <w:rPr>
          <w:rFonts w:eastAsia="Calibri"/>
        </w:rPr>
        <w:t>;</w:t>
      </w:r>
      <w:r w:rsidRPr="00901D53">
        <w:rPr>
          <w:rFonts w:eastAsia="Calibri"/>
        </w:rPr>
        <w:t xml:space="preserve"> </w:t>
      </w:r>
    </w:p>
    <w:p w14:paraId="28A6F234" w14:textId="77777777" w:rsidR="00954DA8" w:rsidRPr="00901D53" w:rsidRDefault="00954DA8" w:rsidP="00736A36">
      <w:pPr>
        <w:pStyle w:val="BodyText"/>
        <w:rPr>
          <w:rFonts w:eastAsia="Calibri"/>
        </w:rPr>
      </w:pPr>
      <w:r w:rsidRPr="00901D53">
        <w:rPr>
          <w:rFonts w:eastAsia="Calibri"/>
        </w:rPr>
        <w:t>Puses var mainīt Kontaktpersonu un Sistēmas administratoru, par to elektroniski informējot otru Pusi (Finansētājam, informējot par Sistēmas administratora maiņu, dokuments jāparaksta ar drošu elektronisko parakstu) un nosūtot e-pastu</w:t>
      </w:r>
      <w:r w:rsidR="00623EDB" w:rsidRPr="00901D53">
        <w:rPr>
          <w:rFonts w:eastAsia="Calibri"/>
        </w:rPr>
        <w:t>:</w:t>
      </w:r>
    </w:p>
    <w:p w14:paraId="27A68644" w14:textId="7E52D1EC" w:rsidR="00623EDB" w:rsidRPr="00B56149" w:rsidRDefault="00623EDB" w:rsidP="002D0C92">
      <w:pPr>
        <w:pStyle w:val="BodyText"/>
        <w:numPr>
          <w:ilvl w:val="2"/>
          <w:numId w:val="14"/>
        </w:numPr>
        <w:rPr>
          <w:rFonts w:eastAsia="Calibri"/>
        </w:rPr>
      </w:pPr>
      <w:r w:rsidRPr="00B56149">
        <w:rPr>
          <w:rFonts w:eastAsia="Calibri"/>
        </w:rPr>
        <w:t xml:space="preserve">ALTUM uz </w:t>
      </w:r>
      <w:r w:rsidR="00901D53" w:rsidRPr="00B56149">
        <w:rPr>
          <w:rFonts w:eastAsia="Calibri"/>
        </w:rPr>
        <w:t>e-pasta</w:t>
      </w:r>
      <w:r w:rsidRPr="00B56149">
        <w:rPr>
          <w:rFonts w:eastAsia="Calibri"/>
        </w:rPr>
        <w:t xml:space="preserve"> adresi – </w:t>
      </w:r>
      <w:hyperlink r:id="rId9" w:history="1">
        <w:r w:rsidR="007922C3" w:rsidRPr="00B56149">
          <w:rPr>
            <w:rStyle w:val="Hyperlink"/>
            <w:rFonts w:eastAsia="Calibri"/>
            <w:color w:val="auto"/>
            <w:u w:val="none"/>
          </w:rPr>
          <w:t>gatis.sniedzins@altum.lv</w:t>
        </w:r>
      </w:hyperlink>
      <w:r w:rsidR="007922C3" w:rsidRPr="00B56149">
        <w:rPr>
          <w:rStyle w:val="Hyperlink"/>
          <w:rFonts w:eastAsia="Calibri"/>
          <w:color w:val="auto"/>
          <w:u w:val="none"/>
        </w:rPr>
        <w:t>;</w:t>
      </w:r>
    </w:p>
    <w:p w14:paraId="3A799C38" w14:textId="4E3D7E54" w:rsidR="00096BFA" w:rsidRPr="005A7068" w:rsidRDefault="00623EDB" w:rsidP="002D0C92">
      <w:pPr>
        <w:pStyle w:val="BodyText"/>
        <w:numPr>
          <w:ilvl w:val="2"/>
          <w:numId w:val="14"/>
        </w:numPr>
        <w:rPr>
          <w:rFonts w:eastAsia="Calibri"/>
          <w:highlight w:val="yellow"/>
        </w:rPr>
      </w:pPr>
      <w:r w:rsidRPr="005A7068">
        <w:rPr>
          <w:rFonts w:eastAsia="Calibri"/>
          <w:highlight w:val="yellow"/>
        </w:rPr>
        <w:t xml:space="preserve">Finansētājam uz e-pasta adresi - </w:t>
      </w:r>
      <w:hyperlink r:id="rId10" w:history="1">
        <w:r w:rsidR="005A7068" w:rsidRPr="005A7068">
          <w:rPr>
            <w:rStyle w:val="Hyperlink"/>
            <w:rFonts w:eastAsia="Calibri"/>
            <w:color w:val="auto"/>
            <w:highlight w:val="yellow"/>
            <w:u w:val="none"/>
          </w:rPr>
          <w:t>___________</w:t>
        </w:r>
      </w:hyperlink>
      <w:r w:rsidR="00B56149" w:rsidRPr="005A7068">
        <w:rPr>
          <w:rStyle w:val="Hyperlink"/>
          <w:rFonts w:eastAsia="Calibri"/>
          <w:color w:val="auto"/>
          <w:highlight w:val="yellow"/>
          <w:u w:val="none"/>
        </w:rPr>
        <w:t>;</w:t>
      </w:r>
    </w:p>
    <w:p w14:paraId="666AEF0D" w14:textId="5F98EB9C" w:rsidR="00096BFA" w:rsidRPr="00901D53" w:rsidRDefault="00096BFA" w:rsidP="00736A36">
      <w:pPr>
        <w:pStyle w:val="BodyText"/>
        <w:rPr>
          <w:rFonts w:eastAsia="Calibri"/>
        </w:rPr>
      </w:pPr>
      <w:r w:rsidRPr="00901D53">
        <w:rPr>
          <w:rFonts w:eastAsia="Calibri"/>
        </w:rPr>
        <w:t>Parakstot Līgumu, Puses vienojas, ka dokumenti, kas nosūtīti, ievērojot Līgumā noteikto kārtību</w:t>
      </w:r>
      <w:r w:rsidR="00CB11B7">
        <w:rPr>
          <w:rFonts w:eastAsia="Calibri"/>
        </w:rPr>
        <w:t>,</w:t>
      </w:r>
      <w:r w:rsidRPr="00901D53">
        <w:rPr>
          <w:rFonts w:eastAsia="Calibri"/>
        </w:rPr>
        <w:t xml:space="preserve"> uzskatāmi par autentiskiem un Puses atzīst tos par sev saistošiem.</w:t>
      </w:r>
    </w:p>
    <w:p w14:paraId="2F61B657" w14:textId="77777777" w:rsidR="00096BFA" w:rsidRPr="00901D53" w:rsidRDefault="00096BFA" w:rsidP="00736A36">
      <w:pPr>
        <w:pStyle w:val="BodyText"/>
        <w:rPr>
          <w:rFonts w:eastAsia="Calibri"/>
        </w:rPr>
      </w:pPr>
      <w:r w:rsidRPr="00901D53">
        <w:rPr>
          <w:rFonts w:eastAsia="Calibri"/>
        </w:rPr>
        <w:t>Finansētājs, parakstot Līgumu, apliecina, ka jebkādi Finansētāja sagatavotie dokumenti un informācija, ko Finansētājs iesniedz ALTUM, ir patiesi un pilnīgi.</w:t>
      </w:r>
    </w:p>
    <w:p w14:paraId="529D01AB" w14:textId="77777777" w:rsidR="00096BFA" w:rsidRPr="00901D53" w:rsidRDefault="00096BFA" w:rsidP="00736A36">
      <w:pPr>
        <w:pStyle w:val="BodyText"/>
        <w:rPr>
          <w:rFonts w:eastAsia="Calibri"/>
        </w:rPr>
      </w:pPr>
      <w:r w:rsidRPr="00901D53">
        <w:rPr>
          <w:rFonts w:eastAsia="Calibri"/>
        </w:rPr>
        <w:t xml:space="preserve"> Lai sekmētu Līgumā paredzēto pienākumu izpildi, katra Puse izvirza savu par Līguma izpildes kontroli atbildīgo kontaktpersonu. Kontaktpersonas vārdu, uzvārdu, kontakttālruni un e-pastu Puses viena otrai </w:t>
      </w:r>
      <w:proofErr w:type="spellStart"/>
      <w:r w:rsidRPr="00901D53">
        <w:rPr>
          <w:rFonts w:eastAsia="Calibri"/>
        </w:rPr>
        <w:t>nosūta</w:t>
      </w:r>
      <w:proofErr w:type="spellEnd"/>
      <w:r w:rsidRPr="00901D53">
        <w:rPr>
          <w:rFonts w:eastAsia="Calibri"/>
        </w:rPr>
        <w:t xml:space="preserve"> elektroniski. Puses var mainīt savu kontaktpersonu, par to elektroniski informējot otru Pusi.</w:t>
      </w:r>
    </w:p>
    <w:p w14:paraId="360D170E" w14:textId="77777777" w:rsidR="00096BFA" w:rsidRPr="00901D53" w:rsidRDefault="00096BFA" w:rsidP="00736A36">
      <w:pPr>
        <w:pStyle w:val="BodyText"/>
        <w:rPr>
          <w:rFonts w:eastAsia="Calibri"/>
        </w:rPr>
      </w:pPr>
      <w:r w:rsidRPr="00901D53">
        <w:rPr>
          <w:rFonts w:eastAsia="Calibri"/>
        </w:rPr>
        <w:t xml:space="preserve">Visas domstarpības, nesaskaņas, kas izriet no/vai saistībā ar Līgumu, Puses risina savstarpēju pārrunu ceļā. Gadījumā, ja savstarpēju pārrunu ceļā domstarpības netiek atrisinātas, strīds tiek nodots izskatīšanai Latvijas Republikas normatīvajos aktos noteiktās </w:t>
      </w:r>
      <w:r w:rsidRPr="00901D53">
        <w:rPr>
          <w:rFonts w:eastAsia="Calibri"/>
        </w:rPr>
        <w:lastRenderedPageBreak/>
        <w:t>piekritības vispārējās jurisdikcijas tiesā.</w:t>
      </w:r>
    </w:p>
    <w:p w14:paraId="2F3A4370" w14:textId="77777777" w:rsidR="00096BFA" w:rsidRPr="00901D53" w:rsidRDefault="00096BFA" w:rsidP="00736A36">
      <w:pPr>
        <w:pStyle w:val="BodyText"/>
        <w:rPr>
          <w:rFonts w:eastAsia="Calibri"/>
        </w:rPr>
      </w:pPr>
      <w:r w:rsidRPr="00901D53">
        <w:rPr>
          <w:rFonts w:eastAsia="Calibri"/>
        </w:rPr>
        <w:t>Līguma parakstīšanas brīdi tam pievienoti šādi pielikumi:</w:t>
      </w:r>
    </w:p>
    <w:p w14:paraId="6939E0DF" w14:textId="77777777" w:rsidR="00096BFA" w:rsidRPr="00901D53" w:rsidRDefault="0053229F" w:rsidP="0028070D">
      <w:pPr>
        <w:pStyle w:val="ListParagraph"/>
        <w:overflowPunct/>
        <w:autoSpaceDE/>
        <w:autoSpaceDN/>
        <w:adjustRightInd/>
        <w:contextualSpacing w:val="0"/>
        <w:textAlignment w:val="auto"/>
        <w:rPr>
          <w:rFonts w:ascii="Times New Roman" w:hAnsi="Times New Roman"/>
          <w:sz w:val="22"/>
          <w:szCs w:val="22"/>
        </w:rPr>
      </w:pPr>
      <w:r w:rsidRPr="00901D53">
        <w:rPr>
          <w:rFonts w:ascii="Times New Roman" w:hAnsi="Times New Roman"/>
          <w:sz w:val="22"/>
          <w:szCs w:val="22"/>
        </w:rPr>
        <w:t xml:space="preserve">Pielikums Nr.1 - </w:t>
      </w:r>
      <w:r w:rsidR="00F47AF6" w:rsidRPr="00901D53">
        <w:rPr>
          <w:rFonts w:ascii="Times New Roman" w:hAnsi="Times New Roman"/>
          <w:sz w:val="22"/>
          <w:szCs w:val="22"/>
        </w:rPr>
        <w:t>S</w:t>
      </w:r>
      <w:r w:rsidR="00096BFA" w:rsidRPr="00901D53">
        <w:rPr>
          <w:rFonts w:ascii="Times New Roman" w:hAnsi="Times New Roman"/>
          <w:sz w:val="22"/>
          <w:szCs w:val="22"/>
        </w:rPr>
        <w:t>peciālie noteikumi;</w:t>
      </w:r>
    </w:p>
    <w:p w14:paraId="57CD0CD7" w14:textId="15230446" w:rsidR="00485219" w:rsidRPr="00901D53" w:rsidRDefault="0053229F" w:rsidP="0028070D">
      <w:pPr>
        <w:pStyle w:val="ListParagraph"/>
        <w:overflowPunct/>
        <w:autoSpaceDE/>
        <w:autoSpaceDN/>
        <w:adjustRightInd/>
        <w:contextualSpacing w:val="0"/>
        <w:textAlignment w:val="auto"/>
        <w:rPr>
          <w:rFonts w:ascii="Times New Roman" w:hAnsi="Times New Roman"/>
          <w:sz w:val="22"/>
          <w:szCs w:val="22"/>
        </w:rPr>
      </w:pPr>
      <w:r w:rsidRPr="00901D53">
        <w:rPr>
          <w:rFonts w:ascii="Times New Roman" w:hAnsi="Times New Roman"/>
          <w:sz w:val="22"/>
          <w:szCs w:val="22"/>
        </w:rPr>
        <w:t>Pielikums Nr.</w:t>
      </w:r>
      <w:r w:rsidR="00A76278" w:rsidRPr="00901D53">
        <w:rPr>
          <w:rFonts w:ascii="Times New Roman" w:hAnsi="Times New Roman"/>
          <w:sz w:val="22"/>
          <w:szCs w:val="22"/>
        </w:rPr>
        <w:t>2</w:t>
      </w:r>
      <w:r w:rsidRPr="00901D53">
        <w:rPr>
          <w:rFonts w:ascii="Times New Roman" w:hAnsi="Times New Roman"/>
          <w:sz w:val="22"/>
          <w:szCs w:val="22"/>
        </w:rPr>
        <w:t xml:space="preserve"> </w:t>
      </w:r>
      <w:r w:rsidR="001970B4">
        <w:rPr>
          <w:rFonts w:ascii="Times New Roman" w:hAnsi="Times New Roman"/>
          <w:sz w:val="22"/>
          <w:szCs w:val="22"/>
        </w:rPr>
        <w:t xml:space="preserve">- </w:t>
      </w:r>
      <w:r w:rsidR="00485219" w:rsidRPr="00901D53">
        <w:rPr>
          <w:rFonts w:ascii="Times New Roman" w:hAnsi="Times New Roman"/>
          <w:sz w:val="22"/>
          <w:szCs w:val="22"/>
        </w:rPr>
        <w:t>Piedāvājums</w:t>
      </w:r>
      <w:r w:rsidR="009203B2" w:rsidRPr="00901D53">
        <w:rPr>
          <w:rFonts w:ascii="Times New Roman" w:hAnsi="Times New Roman"/>
          <w:sz w:val="22"/>
          <w:szCs w:val="22"/>
        </w:rPr>
        <w:t>;</w:t>
      </w:r>
    </w:p>
    <w:p w14:paraId="73B98E83" w14:textId="441D55BC" w:rsidR="00096BFA" w:rsidRPr="00901D53" w:rsidRDefault="0053229F" w:rsidP="0028070D">
      <w:pPr>
        <w:pStyle w:val="ListParagraph"/>
        <w:overflowPunct/>
        <w:autoSpaceDE/>
        <w:autoSpaceDN/>
        <w:adjustRightInd/>
        <w:contextualSpacing w:val="0"/>
        <w:textAlignment w:val="auto"/>
        <w:rPr>
          <w:rFonts w:ascii="Times New Roman" w:hAnsi="Times New Roman"/>
          <w:sz w:val="22"/>
          <w:szCs w:val="22"/>
        </w:rPr>
      </w:pPr>
      <w:r w:rsidRPr="00901D53">
        <w:rPr>
          <w:rFonts w:ascii="Times New Roman" w:hAnsi="Times New Roman"/>
          <w:sz w:val="22"/>
          <w:szCs w:val="22"/>
        </w:rPr>
        <w:t>Pielikums Nr.</w:t>
      </w:r>
      <w:r w:rsidR="00A76278" w:rsidRPr="00901D53">
        <w:rPr>
          <w:rFonts w:ascii="Times New Roman" w:hAnsi="Times New Roman"/>
          <w:sz w:val="22"/>
          <w:szCs w:val="22"/>
        </w:rPr>
        <w:t>3</w:t>
      </w:r>
      <w:r w:rsidRPr="00901D53">
        <w:rPr>
          <w:rFonts w:ascii="Times New Roman" w:hAnsi="Times New Roman"/>
          <w:sz w:val="22"/>
          <w:szCs w:val="22"/>
        </w:rPr>
        <w:t xml:space="preserve"> - </w:t>
      </w:r>
      <w:r w:rsidR="00096BFA" w:rsidRPr="00901D53">
        <w:rPr>
          <w:rFonts w:ascii="Times New Roman" w:hAnsi="Times New Roman"/>
          <w:sz w:val="22"/>
          <w:szCs w:val="22"/>
        </w:rPr>
        <w:t>Kompensācijas izmaksas pieteikums</w:t>
      </w:r>
      <w:r w:rsidR="004D2A14">
        <w:rPr>
          <w:rFonts w:ascii="Times New Roman" w:hAnsi="Times New Roman"/>
          <w:sz w:val="22"/>
          <w:szCs w:val="22"/>
        </w:rPr>
        <w:t>.</w:t>
      </w:r>
    </w:p>
    <w:p w14:paraId="309D1EEB" w14:textId="77777777" w:rsidR="00096BFA" w:rsidRPr="00901D53" w:rsidRDefault="00096BFA" w:rsidP="00736A36">
      <w:pPr>
        <w:pStyle w:val="BodyText"/>
        <w:rPr>
          <w:rFonts w:eastAsia="Calibri"/>
        </w:rPr>
      </w:pPr>
      <w:r w:rsidRPr="00901D53">
        <w:rPr>
          <w:rFonts w:eastAsia="Calibri"/>
        </w:rPr>
        <w:t>Līgumam var tikt pievienoti arī citi pielikumi. Pēc Līguma noslēgšanas pievienotie pielikumi tiek numurēti hronoloģiskā secībā pēc to noslēgšanas datuma.</w:t>
      </w:r>
    </w:p>
    <w:p w14:paraId="16B7E36F" w14:textId="77777777" w:rsidR="00096BFA" w:rsidRPr="00901D53" w:rsidRDefault="00096BFA" w:rsidP="00736A36">
      <w:pPr>
        <w:pStyle w:val="BodyText"/>
        <w:rPr>
          <w:rFonts w:eastAsia="Calibri"/>
        </w:rPr>
      </w:pPr>
      <w:r w:rsidRPr="00901D53">
        <w:rPr>
          <w:rFonts w:eastAsia="Calibri"/>
        </w:rPr>
        <w:t> Visas izmaiņas Līguma noteikumos ir noformējamas rakstiski un stājas spēkā pēc to abpusējas parakstīšanas.</w:t>
      </w:r>
    </w:p>
    <w:p w14:paraId="279CC66F" w14:textId="77777777" w:rsidR="00096BFA" w:rsidRPr="00901D53" w:rsidRDefault="00096BFA" w:rsidP="00736A36">
      <w:pPr>
        <w:pStyle w:val="BodyText"/>
        <w:rPr>
          <w:rFonts w:eastAsia="Calibri"/>
        </w:rPr>
      </w:pPr>
      <w:r w:rsidRPr="00901D53">
        <w:rPr>
          <w:rFonts w:eastAsia="Calibri"/>
        </w:rPr>
        <w:t> </w:t>
      </w:r>
      <w:r w:rsidR="00954DA8" w:rsidRPr="00901D53">
        <w:rPr>
          <w:rFonts w:eastAsia="Calibri"/>
        </w:rPr>
        <w:t>Puses Līgumu paraksta ar drošu elektronisko parakstu, kurš satur laika zīmogu. Līguma parakstīšanas datums ir pēdējā pievienotā droša elektroniskā paraksta un tā laika zīmoga datums. Pusēm ir pieejams abpusēji parakstīts Līgums elektroniskā formātā</w:t>
      </w:r>
      <w:r w:rsidR="00B80883" w:rsidRPr="00901D53">
        <w:rPr>
          <w:rFonts w:eastAsia="Calibri"/>
        </w:rPr>
        <w:t>.</w:t>
      </w:r>
    </w:p>
    <w:p w14:paraId="44755123" w14:textId="4E7CD354" w:rsidR="007D1112" w:rsidRDefault="007D1112" w:rsidP="00096BFA">
      <w:pPr>
        <w:pStyle w:val="NoSpacing"/>
        <w:jc w:val="both"/>
        <w:rPr>
          <w:rFonts w:ascii="Times New Roman" w:hAnsi="Times New Roman"/>
        </w:rPr>
      </w:pPr>
    </w:p>
    <w:p w14:paraId="25C42059" w14:textId="77777777" w:rsidR="00B56149" w:rsidRPr="00901D53" w:rsidRDefault="00B56149" w:rsidP="00096BFA">
      <w:pPr>
        <w:pStyle w:val="NoSpacing"/>
        <w:jc w:val="both"/>
        <w:rPr>
          <w:rFonts w:ascii="Times New Roman" w:hAnsi="Times New Roman"/>
        </w:rPr>
      </w:pPr>
    </w:p>
    <w:tbl>
      <w:tblPr>
        <w:tblW w:w="0" w:type="auto"/>
        <w:tblLook w:val="04A0" w:firstRow="1" w:lastRow="0" w:firstColumn="1" w:lastColumn="0" w:noHBand="0" w:noVBand="1"/>
      </w:tblPr>
      <w:tblGrid>
        <w:gridCol w:w="4337"/>
        <w:gridCol w:w="141"/>
        <w:gridCol w:w="4197"/>
        <w:gridCol w:w="283"/>
      </w:tblGrid>
      <w:tr w:rsidR="00054987" w:rsidRPr="00901D53" w14:paraId="4EAE36D3" w14:textId="77777777" w:rsidTr="008B146A">
        <w:tc>
          <w:tcPr>
            <w:tcW w:w="4502" w:type="dxa"/>
            <w:gridSpan w:val="2"/>
            <w:shd w:val="clear" w:color="auto" w:fill="auto"/>
          </w:tcPr>
          <w:p w14:paraId="63B68A1F" w14:textId="77777777" w:rsidR="00096BFA" w:rsidRPr="00901D53" w:rsidRDefault="00096BFA" w:rsidP="008B146A">
            <w:pPr>
              <w:pStyle w:val="NoSpacing"/>
              <w:jc w:val="both"/>
              <w:rPr>
                <w:rFonts w:ascii="Times New Roman" w:hAnsi="Times New Roman"/>
                <w:b/>
              </w:rPr>
            </w:pPr>
            <w:r w:rsidRPr="00901D53">
              <w:rPr>
                <w:rFonts w:ascii="Times New Roman" w:hAnsi="Times New Roman"/>
                <w:b/>
              </w:rPr>
              <w:t>ALTUM rekvizīti:</w:t>
            </w:r>
          </w:p>
          <w:p w14:paraId="6CDDC25E" w14:textId="77777777" w:rsidR="00096BFA" w:rsidRPr="00901D53" w:rsidRDefault="00096BFA" w:rsidP="008B146A">
            <w:pPr>
              <w:pStyle w:val="NoSpacing"/>
              <w:jc w:val="both"/>
              <w:rPr>
                <w:rFonts w:ascii="Times New Roman" w:hAnsi="Times New Roman"/>
              </w:rPr>
            </w:pPr>
            <w:r w:rsidRPr="00901D53">
              <w:rPr>
                <w:rFonts w:ascii="Times New Roman" w:hAnsi="Times New Roman"/>
              </w:rPr>
              <w:t xml:space="preserve">ALTUM adrese: Doma laukums 4, Rīga, </w:t>
            </w:r>
          </w:p>
          <w:p w14:paraId="12767AB3" w14:textId="77777777" w:rsidR="00096BFA" w:rsidRPr="00901D53" w:rsidRDefault="00096BFA" w:rsidP="008B146A">
            <w:pPr>
              <w:pStyle w:val="NoSpacing"/>
              <w:jc w:val="both"/>
              <w:rPr>
                <w:rFonts w:ascii="Times New Roman" w:hAnsi="Times New Roman"/>
              </w:rPr>
            </w:pPr>
            <w:r w:rsidRPr="00901D53">
              <w:rPr>
                <w:rFonts w:ascii="Times New Roman" w:hAnsi="Times New Roman"/>
              </w:rPr>
              <w:t>LV-1050</w:t>
            </w:r>
          </w:p>
          <w:p w14:paraId="28D8A68B" w14:textId="77777777" w:rsidR="00096BFA" w:rsidRPr="00901D53" w:rsidRDefault="00096BFA" w:rsidP="00B56149">
            <w:pPr>
              <w:pStyle w:val="NoSpacing"/>
              <w:jc w:val="both"/>
              <w:rPr>
                <w:rFonts w:ascii="Times New Roman" w:hAnsi="Times New Roman"/>
              </w:rPr>
            </w:pPr>
          </w:p>
        </w:tc>
        <w:tc>
          <w:tcPr>
            <w:tcW w:w="4503" w:type="dxa"/>
            <w:gridSpan w:val="2"/>
            <w:shd w:val="clear" w:color="auto" w:fill="auto"/>
          </w:tcPr>
          <w:p w14:paraId="1A79DCF1" w14:textId="77777777" w:rsidR="00096BFA" w:rsidRPr="00901D53" w:rsidRDefault="00096BFA" w:rsidP="008B146A">
            <w:pPr>
              <w:pStyle w:val="NoSpacing"/>
              <w:jc w:val="both"/>
              <w:rPr>
                <w:rFonts w:ascii="Times New Roman" w:hAnsi="Times New Roman"/>
                <w:b/>
              </w:rPr>
            </w:pPr>
            <w:r w:rsidRPr="00901D53">
              <w:rPr>
                <w:rFonts w:ascii="Times New Roman" w:hAnsi="Times New Roman"/>
                <w:b/>
              </w:rPr>
              <w:t>Finansētāja rekvizīti:</w:t>
            </w:r>
          </w:p>
          <w:p w14:paraId="501DD71A" w14:textId="3B2343C9" w:rsidR="00096BFA" w:rsidRPr="00901D53" w:rsidRDefault="00096BFA" w:rsidP="001970B4">
            <w:pPr>
              <w:pStyle w:val="NoSpacing"/>
              <w:jc w:val="both"/>
              <w:rPr>
                <w:rFonts w:ascii="Times New Roman" w:hAnsi="Times New Roman"/>
              </w:rPr>
            </w:pPr>
            <w:r w:rsidRPr="00901D53">
              <w:rPr>
                <w:rFonts w:ascii="Times New Roman" w:hAnsi="Times New Roman"/>
              </w:rPr>
              <w:t xml:space="preserve">Finansētāja adrese: </w:t>
            </w:r>
            <w:r w:rsidR="001970B4">
              <w:rPr>
                <w:rFonts w:ascii="Times New Roman" w:hAnsi="Times New Roman"/>
              </w:rPr>
              <w:t>________</w:t>
            </w:r>
          </w:p>
          <w:p w14:paraId="3EF16B4D" w14:textId="4A827AF4" w:rsidR="00020A16" w:rsidRPr="00901D53" w:rsidRDefault="00096BFA" w:rsidP="00A76278">
            <w:pPr>
              <w:pStyle w:val="NoSpacing"/>
              <w:jc w:val="both"/>
              <w:rPr>
                <w:rFonts w:ascii="Times New Roman" w:hAnsi="Times New Roman"/>
              </w:rPr>
            </w:pPr>
            <w:r w:rsidRPr="00901D53">
              <w:rPr>
                <w:rFonts w:ascii="Times New Roman" w:hAnsi="Times New Roman"/>
              </w:rPr>
              <w:t xml:space="preserve"> </w:t>
            </w:r>
          </w:p>
        </w:tc>
      </w:tr>
      <w:tr w:rsidR="00054987" w:rsidRPr="00901D53" w14:paraId="2736BE8A" w14:textId="77777777" w:rsidTr="008B146A">
        <w:tblPrEx>
          <w:tblLook w:val="01E0" w:firstRow="1" w:lastRow="1" w:firstColumn="1" w:lastColumn="1" w:noHBand="0" w:noVBand="0"/>
        </w:tblPrEx>
        <w:trPr>
          <w:gridAfter w:val="1"/>
          <w:wAfter w:w="285" w:type="dxa"/>
        </w:trPr>
        <w:tc>
          <w:tcPr>
            <w:tcW w:w="4360" w:type="dxa"/>
          </w:tcPr>
          <w:p w14:paraId="0C7A0BEE" w14:textId="77777777" w:rsidR="00096BFA" w:rsidRPr="00901D53" w:rsidRDefault="00096BFA" w:rsidP="008B146A">
            <w:pPr>
              <w:pStyle w:val="NoSpacing"/>
              <w:jc w:val="both"/>
              <w:rPr>
                <w:rFonts w:ascii="Times New Roman" w:hAnsi="Times New Roman"/>
                <w:b/>
              </w:rPr>
            </w:pPr>
            <w:r w:rsidRPr="00901D53">
              <w:rPr>
                <w:rFonts w:ascii="Times New Roman" w:hAnsi="Times New Roman"/>
                <w:b/>
              </w:rPr>
              <w:t>ALTUM:</w:t>
            </w:r>
          </w:p>
          <w:p w14:paraId="412863AE" w14:textId="77777777" w:rsidR="00096BFA" w:rsidRPr="00901D53" w:rsidRDefault="00096BFA" w:rsidP="008B146A">
            <w:pPr>
              <w:pStyle w:val="NoSpacing"/>
              <w:jc w:val="both"/>
              <w:rPr>
                <w:rFonts w:ascii="Times New Roman" w:hAnsi="Times New Roman"/>
              </w:rPr>
            </w:pPr>
          </w:p>
        </w:tc>
        <w:tc>
          <w:tcPr>
            <w:tcW w:w="4360" w:type="dxa"/>
            <w:gridSpan w:val="2"/>
          </w:tcPr>
          <w:p w14:paraId="4584E938" w14:textId="77777777" w:rsidR="00096BFA" w:rsidRPr="00901D53" w:rsidRDefault="00096BFA" w:rsidP="008B146A">
            <w:pPr>
              <w:pStyle w:val="NoSpacing"/>
              <w:jc w:val="both"/>
              <w:rPr>
                <w:rFonts w:ascii="Times New Roman" w:hAnsi="Times New Roman"/>
                <w:b/>
              </w:rPr>
            </w:pPr>
            <w:r w:rsidRPr="00901D53">
              <w:rPr>
                <w:rFonts w:ascii="Times New Roman" w:hAnsi="Times New Roman"/>
                <w:b/>
              </w:rPr>
              <w:t>Finansētājs:</w:t>
            </w:r>
          </w:p>
          <w:p w14:paraId="16F3EF79" w14:textId="77777777" w:rsidR="00096BFA" w:rsidRPr="00901D53" w:rsidRDefault="00096BFA" w:rsidP="008B146A">
            <w:pPr>
              <w:pStyle w:val="NoSpacing"/>
              <w:jc w:val="both"/>
              <w:rPr>
                <w:rFonts w:ascii="Times New Roman" w:hAnsi="Times New Roman"/>
              </w:rPr>
            </w:pPr>
          </w:p>
        </w:tc>
      </w:tr>
      <w:tr w:rsidR="00B957CC" w:rsidRPr="00901D53" w14:paraId="66F0812A" w14:textId="77777777" w:rsidTr="008B146A">
        <w:tblPrEx>
          <w:tblLook w:val="01E0" w:firstRow="1" w:lastRow="1" w:firstColumn="1" w:lastColumn="1" w:noHBand="0" w:noVBand="0"/>
        </w:tblPrEx>
        <w:trPr>
          <w:gridAfter w:val="1"/>
          <w:wAfter w:w="285" w:type="dxa"/>
        </w:trPr>
        <w:tc>
          <w:tcPr>
            <w:tcW w:w="4360" w:type="dxa"/>
          </w:tcPr>
          <w:p w14:paraId="7A3875D7" w14:textId="2572C329" w:rsidR="00096BFA" w:rsidRPr="00901D53" w:rsidRDefault="001970B4" w:rsidP="008B146A">
            <w:pPr>
              <w:pStyle w:val="NoSpacing"/>
              <w:jc w:val="both"/>
              <w:rPr>
                <w:rFonts w:ascii="Times New Roman" w:hAnsi="Times New Roman"/>
                <w:b/>
              </w:rPr>
            </w:pPr>
            <w:r>
              <w:rPr>
                <w:rFonts w:ascii="Times New Roman" w:hAnsi="Times New Roman"/>
                <w:b/>
              </w:rPr>
              <w:t>_______</w:t>
            </w:r>
          </w:p>
        </w:tc>
        <w:tc>
          <w:tcPr>
            <w:tcW w:w="4360" w:type="dxa"/>
            <w:gridSpan w:val="2"/>
          </w:tcPr>
          <w:p w14:paraId="7270A82B" w14:textId="2CDF6DA2" w:rsidR="00A76278" w:rsidRPr="00901D53" w:rsidRDefault="001970B4" w:rsidP="00A76278">
            <w:pPr>
              <w:pStyle w:val="NoSpacing"/>
              <w:jc w:val="both"/>
              <w:rPr>
                <w:rFonts w:ascii="Times New Roman" w:hAnsi="Times New Roman"/>
                <w:b/>
                <w:bCs/>
              </w:rPr>
            </w:pPr>
            <w:r>
              <w:rPr>
                <w:rFonts w:ascii="Times New Roman" w:hAnsi="Times New Roman"/>
                <w:b/>
                <w:bCs/>
              </w:rPr>
              <w:t>_________</w:t>
            </w:r>
          </w:p>
        </w:tc>
      </w:tr>
    </w:tbl>
    <w:p w14:paraId="339818BA" w14:textId="77777777" w:rsidR="00B80883" w:rsidRPr="00901D53" w:rsidRDefault="00B80883" w:rsidP="00AD7DCD">
      <w:pPr>
        <w:rPr>
          <w:rFonts w:ascii="Times New Roman" w:hAnsi="Times New Roman"/>
          <w:sz w:val="22"/>
          <w:szCs w:val="22"/>
        </w:rPr>
      </w:pPr>
    </w:p>
    <w:p w14:paraId="3672927C" w14:textId="335B4B44" w:rsidR="00021ACB" w:rsidRPr="00901D53" w:rsidRDefault="00B80883" w:rsidP="00AD7DCD">
      <w:pPr>
        <w:rPr>
          <w:rFonts w:ascii="Times New Roman" w:hAnsi="Times New Roman"/>
          <w:sz w:val="22"/>
          <w:szCs w:val="22"/>
        </w:rPr>
      </w:pPr>
      <w:r w:rsidRPr="00901D53">
        <w:rPr>
          <w:rFonts w:ascii="Times New Roman" w:hAnsi="Times New Roman"/>
          <w:sz w:val="22"/>
          <w:szCs w:val="22"/>
        </w:rPr>
        <w:t xml:space="preserve">ŠIS DOKUMENTS IR ELEKTRONISKI PARAKSTĪTS AR DROŠU ELEKTRONISKO PARAKSTU UN </w:t>
      </w:r>
      <w:r w:rsidR="005801A6" w:rsidRPr="00901D53">
        <w:rPr>
          <w:rFonts w:ascii="Times New Roman" w:hAnsi="Times New Roman"/>
          <w:sz w:val="22"/>
          <w:szCs w:val="22"/>
        </w:rPr>
        <w:t xml:space="preserve"> </w:t>
      </w:r>
      <w:r w:rsidRPr="00901D53">
        <w:rPr>
          <w:rFonts w:ascii="Times New Roman" w:hAnsi="Times New Roman"/>
          <w:sz w:val="22"/>
          <w:szCs w:val="22"/>
        </w:rPr>
        <w:t>SATUR LAIKA ZĪMOGU</w:t>
      </w:r>
    </w:p>
    <w:p w14:paraId="57FA16A4" w14:textId="01330D58" w:rsidR="00EA1838" w:rsidRDefault="00EA1838">
      <w:pPr>
        <w:overflowPunct/>
        <w:autoSpaceDE/>
        <w:autoSpaceDN/>
        <w:adjustRightInd/>
        <w:spacing w:after="160" w:line="259" w:lineRule="auto"/>
        <w:textAlignment w:val="auto"/>
        <w:rPr>
          <w:rFonts w:ascii="Century Gothic" w:hAnsi="Century Gothic"/>
          <w:color w:val="003B85"/>
          <w:sz w:val="16"/>
        </w:rPr>
      </w:pPr>
      <w:r>
        <w:rPr>
          <w:rFonts w:ascii="Century Gothic" w:hAnsi="Century Gothic"/>
          <w:color w:val="003B85"/>
          <w:sz w:val="16"/>
        </w:rPr>
        <w:br w:type="page"/>
      </w:r>
    </w:p>
    <w:p w14:paraId="14852F38" w14:textId="77777777" w:rsidR="00EA1838" w:rsidRPr="00D17D8E" w:rsidRDefault="00EA1838" w:rsidP="00EA1838">
      <w:pPr>
        <w:overflowPunct/>
        <w:autoSpaceDE/>
        <w:autoSpaceDN/>
        <w:adjustRightInd/>
        <w:spacing w:after="160" w:line="259" w:lineRule="auto"/>
        <w:jc w:val="right"/>
        <w:textAlignment w:val="auto"/>
        <w:rPr>
          <w:rFonts w:ascii="Century Gothic" w:hAnsi="Century Gothic"/>
        </w:rPr>
      </w:pPr>
      <w:r w:rsidRPr="00D17D8E">
        <w:rPr>
          <w:rFonts w:ascii="Century Gothic" w:hAnsi="Century Gothic"/>
        </w:rPr>
        <w:lastRenderedPageBreak/>
        <w:t>Pielikums Nr.1</w:t>
      </w:r>
    </w:p>
    <w:p w14:paraId="54714348" w14:textId="77777777" w:rsidR="00EA1838" w:rsidRPr="00D17D8E" w:rsidRDefault="00EA1838" w:rsidP="00EA1838">
      <w:pPr>
        <w:jc w:val="center"/>
        <w:rPr>
          <w:rFonts w:ascii="Century Gothic" w:hAnsi="Century Gothic"/>
        </w:rPr>
      </w:pPr>
      <w:r>
        <w:rPr>
          <w:rFonts w:ascii="Century Gothic" w:hAnsi="Century Gothic"/>
        </w:rPr>
        <w:t>Speciālie noteikumi</w:t>
      </w:r>
    </w:p>
    <w:p w14:paraId="182F11BD" w14:textId="77777777" w:rsidR="00EA1838" w:rsidRPr="00D17D8E" w:rsidRDefault="00EA1838" w:rsidP="00EA1838">
      <w:pPr>
        <w:rPr>
          <w:rFonts w:ascii="Century Gothic" w:hAnsi="Century Gothic"/>
          <w:sz w:val="16"/>
          <w:szCs w:val="16"/>
        </w:rPr>
      </w:pPr>
    </w:p>
    <w:p w14:paraId="60C84318" w14:textId="77777777" w:rsidR="00EA1838" w:rsidRPr="00D17D8E" w:rsidRDefault="00EA1838" w:rsidP="00EA1838">
      <w:pPr>
        <w:rPr>
          <w:rFonts w:ascii="Century Gothic" w:hAnsi="Century Gothic"/>
        </w:rPr>
      </w:pPr>
      <w:r w:rsidRPr="00D17D8E">
        <w:rPr>
          <w:rFonts w:ascii="Century Gothic" w:hAnsi="Century Gothic"/>
        </w:rPr>
        <w:t xml:space="preserve">Pretendenta finanšu piedāvājums studiju un studējošo kreditēšanas </w:t>
      </w:r>
      <w:proofErr w:type="spellStart"/>
      <w:r w:rsidRPr="00D17D8E">
        <w:rPr>
          <w:rFonts w:ascii="Century Gothic" w:hAnsi="Century Gothic"/>
        </w:rPr>
        <w:t>portfeļgarantijas</w:t>
      </w:r>
      <w:proofErr w:type="spellEnd"/>
      <w:r w:rsidRPr="00D17D8E">
        <w:rPr>
          <w:rFonts w:ascii="Century Gothic" w:hAnsi="Century Gothic"/>
        </w:rPr>
        <w:t xml:space="preserve"> instrumentā:</w:t>
      </w:r>
    </w:p>
    <w:p w14:paraId="7DC2DBD6" w14:textId="77777777" w:rsidR="00EA1838" w:rsidRPr="00D17D8E" w:rsidRDefault="00EA1838" w:rsidP="00EA1838">
      <w:pPr>
        <w:jc w:val="center"/>
        <w:rPr>
          <w:rFonts w:ascii="Century Gothic" w:hAnsi="Century Gothic"/>
          <w:sz w:val="16"/>
          <w:szCs w:val="16"/>
        </w:rPr>
      </w:pPr>
    </w:p>
    <w:tbl>
      <w:tblPr>
        <w:tblW w:w="9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4111"/>
        <w:gridCol w:w="709"/>
        <w:gridCol w:w="1134"/>
        <w:gridCol w:w="1417"/>
        <w:gridCol w:w="851"/>
        <w:gridCol w:w="615"/>
        <w:gridCol w:w="6"/>
      </w:tblGrid>
      <w:tr w:rsidR="00EA1838" w:rsidRPr="00D17D8E" w14:paraId="3AAD7F43" w14:textId="77777777" w:rsidTr="00C57059">
        <w:tc>
          <w:tcPr>
            <w:tcW w:w="562" w:type="dxa"/>
            <w:tcBorders>
              <w:top w:val="single" w:sz="4" w:space="0" w:color="000000"/>
              <w:left w:val="single" w:sz="4" w:space="0" w:color="000000"/>
              <w:bottom w:val="single" w:sz="4" w:space="0" w:color="000000"/>
              <w:right w:val="single" w:sz="4" w:space="0" w:color="000000"/>
            </w:tcBorders>
            <w:hideMark/>
          </w:tcPr>
          <w:p w14:paraId="3778A511" w14:textId="77777777" w:rsidR="00EA1838" w:rsidRPr="00D17D8E" w:rsidRDefault="00EA1838" w:rsidP="00C57059">
            <w:pPr>
              <w:jc w:val="center"/>
              <w:rPr>
                <w:rFonts w:ascii="Century Gothic" w:hAnsi="Century Gothic"/>
                <w:sz w:val="16"/>
                <w:szCs w:val="16"/>
              </w:rPr>
            </w:pPr>
            <w:r w:rsidRPr="00D17D8E">
              <w:rPr>
                <w:rFonts w:ascii="Century Gothic" w:hAnsi="Century Gothic"/>
                <w:sz w:val="16"/>
                <w:szCs w:val="16"/>
              </w:rPr>
              <w:t>Nr.</w:t>
            </w:r>
          </w:p>
        </w:tc>
        <w:tc>
          <w:tcPr>
            <w:tcW w:w="4111" w:type="dxa"/>
            <w:tcBorders>
              <w:top w:val="single" w:sz="4" w:space="0" w:color="000000"/>
              <w:left w:val="single" w:sz="4" w:space="0" w:color="000000"/>
              <w:bottom w:val="single" w:sz="4" w:space="0" w:color="000000"/>
              <w:right w:val="single" w:sz="4" w:space="0" w:color="000000"/>
            </w:tcBorders>
            <w:hideMark/>
          </w:tcPr>
          <w:p w14:paraId="2A614EA0" w14:textId="77777777" w:rsidR="00EA1838" w:rsidRPr="00D17D8E" w:rsidRDefault="00EA1838" w:rsidP="00C57059">
            <w:pPr>
              <w:rPr>
                <w:rFonts w:ascii="Century Gothic" w:hAnsi="Century Gothic"/>
                <w:sz w:val="16"/>
                <w:szCs w:val="16"/>
              </w:rPr>
            </w:pPr>
            <w:r w:rsidRPr="00D17D8E">
              <w:rPr>
                <w:rFonts w:ascii="Century Gothic" w:hAnsi="Century Gothic"/>
                <w:sz w:val="16"/>
                <w:szCs w:val="16"/>
              </w:rPr>
              <w:t xml:space="preserve"> Piedāvājuma pozīcija</w:t>
            </w:r>
          </w:p>
        </w:tc>
        <w:tc>
          <w:tcPr>
            <w:tcW w:w="4732" w:type="dxa"/>
            <w:gridSpan w:val="6"/>
            <w:tcBorders>
              <w:top w:val="single" w:sz="4" w:space="0" w:color="000000"/>
              <w:left w:val="single" w:sz="4" w:space="0" w:color="000000"/>
              <w:bottom w:val="single" w:sz="4" w:space="0" w:color="000000"/>
              <w:right w:val="single" w:sz="4" w:space="0" w:color="000000"/>
            </w:tcBorders>
            <w:hideMark/>
          </w:tcPr>
          <w:p w14:paraId="7212149B" w14:textId="77777777" w:rsidR="00EA1838" w:rsidRPr="00D17D8E" w:rsidRDefault="00EA1838" w:rsidP="00C57059">
            <w:pPr>
              <w:jc w:val="center"/>
              <w:rPr>
                <w:rFonts w:ascii="Century Gothic" w:hAnsi="Century Gothic"/>
                <w:sz w:val="16"/>
                <w:szCs w:val="16"/>
              </w:rPr>
            </w:pPr>
            <w:r w:rsidRPr="00D17D8E">
              <w:rPr>
                <w:rFonts w:ascii="Century Gothic" w:hAnsi="Century Gothic"/>
                <w:sz w:val="16"/>
                <w:szCs w:val="16"/>
              </w:rPr>
              <w:t>Pretendenta piedāvājums</w:t>
            </w:r>
          </w:p>
        </w:tc>
      </w:tr>
      <w:tr w:rsidR="00EA1838" w:rsidRPr="00D17D8E" w14:paraId="338BBCDE" w14:textId="77777777" w:rsidTr="00C57059">
        <w:trPr>
          <w:gridAfter w:val="1"/>
          <w:wAfter w:w="6" w:type="dxa"/>
        </w:trPr>
        <w:tc>
          <w:tcPr>
            <w:tcW w:w="562" w:type="dxa"/>
            <w:tcBorders>
              <w:top w:val="single" w:sz="4" w:space="0" w:color="000000"/>
              <w:left w:val="single" w:sz="4" w:space="0" w:color="000000"/>
              <w:bottom w:val="single" w:sz="4" w:space="0" w:color="000000"/>
              <w:right w:val="single" w:sz="4" w:space="0" w:color="000000"/>
            </w:tcBorders>
          </w:tcPr>
          <w:p w14:paraId="2CF7F80B" w14:textId="77777777" w:rsidR="00EA1838" w:rsidRPr="00D17D8E" w:rsidRDefault="00EA1838" w:rsidP="00C57059">
            <w:pPr>
              <w:numPr>
                <w:ilvl w:val="0"/>
                <w:numId w:val="25"/>
              </w:numPr>
              <w:ind w:left="0" w:firstLine="0"/>
              <w:jc w:val="center"/>
              <w:rPr>
                <w:rFonts w:ascii="Century Gothic" w:hAnsi="Century Gothic"/>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3FF39B82" w14:textId="77777777" w:rsidR="00EA1838" w:rsidRPr="00D17D8E" w:rsidRDefault="00EA1838" w:rsidP="00C57059">
            <w:pPr>
              <w:rPr>
                <w:rFonts w:ascii="Century Gothic" w:hAnsi="Century Gothic"/>
                <w:sz w:val="16"/>
                <w:szCs w:val="16"/>
              </w:rPr>
            </w:pPr>
            <w:r w:rsidRPr="00D17D8E">
              <w:rPr>
                <w:rFonts w:ascii="Century Gothic" w:hAnsi="Century Gothic"/>
                <w:sz w:val="16"/>
                <w:szCs w:val="16"/>
              </w:rPr>
              <w:t>Pretendenta piedāvātā vidējā finanšu pakalpojuma procentu likme</w:t>
            </w:r>
            <w:r w:rsidRPr="00D17D8E">
              <w:rPr>
                <w:rFonts w:ascii="Century Gothic" w:hAnsi="Century Gothic"/>
                <w:sz w:val="16"/>
                <w:szCs w:val="16"/>
                <w:vertAlign w:val="superscript"/>
              </w:rPr>
              <w:footnoteReference w:id="1"/>
            </w:r>
            <w:r w:rsidRPr="00D17D8E">
              <w:rPr>
                <w:rFonts w:ascii="Century Gothic" w:hAnsi="Century Gothic"/>
                <w:sz w:val="16"/>
                <w:szCs w:val="16"/>
              </w:rPr>
              <w:t>.</w:t>
            </w:r>
          </w:p>
        </w:tc>
        <w:tc>
          <w:tcPr>
            <w:tcW w:w="4111" w:type="dxa"/>
            <w:gridSpan w:val="4"/>
            <w:tcBorders>
              <w:top w:val="single" w:sz="4" w:space="0" w:color="000000"/>
              <w:left w:val="single" w:sz="4" w:space="0" w:color="000000"/>
              <w:bottom w:val="single" w:sz="4" w:space="0" w:color="000000"/>
              <w:right w:val="single" w:sz="4" w:space="0" w:color="000000"/>
            </w:tcBorders>
          </w:tcPr>
          <w:p w14:paraId="7FA19813" w14:textId="77777777" w:rsidR="00EA1838" w:rsidRPr="00D17D8E" w:rsidRDefault="00EA1838" w:rsidP="00C57059">
            <w:pPr>
              <w:jc w:val="center"/>
              <w:rPr>
                <w:rFonts w:ascii="Century Gothic" w:hAnsi="Century Gothic"/>
                <w:sz w:val="16"/>
                <w:szCs w:val="16"/>
              </w:rPr>
            </w:pPr>
          </w:p>
        </w:tc>
        <w:tc>
          <w:tcPr>
            <w:tcW w:w="615" w:type="dxa"/>
            <w:tcBorders>
              <w:top w:val="single" w:sz="4" w:space="0" w:color="000000"/>
              <w:left w:val="single" w:sz="4" w:space="0" w:color="000000"/>
              <w:bottom w:val="single" w:sz="4" w:space="0" w:color="000000"/>
              <w:right w:val="single" w:sz="4" w:space="0" w:color="000000"/>
            </w:tcBorders>
            <w:hideMark/>
          </w:tcPr>
          <w:p w14:paraId="75540689" w14:textId="77777777" w:rsidR="00EA1838" w:rsidRPr="00D17D8E" w:rsidRDefault="00EA1838" w:rsidP="00C57059">
            <w:pPr>
              <w:jc w:val="center"/>
              <w:rPr>
                <w:rFonts w:ascii="Century Gothic" w:hAnsi="Century Gothic"/>
                <w:sz w:val="16"/>
                <w:szCs w:val="16"/>
              </w:rPr>
            </w:pPr>
            <w:r w:rsidRPr="00D17D8E">
              <w:rPr>
                <w:rFonts w:ascii="Century Gothic" w:hAnsi="Century Gothic"/>
                <w:sz w:val="16"/>
                <w:szCs w:val="16"/>
              </w:rPr>
              <w:t>%</w:t>
            </w:r>
          </w:p>
        </w:tc>
      </w:tr>
      <w:tr w:rsidR="00EA1838" w:rsidRPr="00D17D8E" w14:paraId="22F52B4A" w14:textId="77777777" w:rsidTr="00C57059">
        <w:trPr>
          <w:gridAfter w:val="1"/>
          <w:wAfter w:w="6" w:type="dxa"/>
        </w:trPr>
        <w:tc>
          <w:tcPr>
            <w:tcW w:w="562" w:type="dxa"/>
            <w:tcBorders>
              <w:top w:val="single" w:sz="4" w:space="0" w:color="000000"/>
              <w:left w:val="single" w:sz="4" w:space="0" w:color="000000"/>
              <w:bottom w:val="single" w:sz="4" w:space="0" w:color="000000"/>
              <w:right w:val="single" w:sz="4" w:space="0" w:color="000000"/>
            </w:tcBorders>
          </w:tcPr>
          <w:p w14:paraId="12D9574F" w14:textId="77777777" w:rsidR="00EA1838" w:rsidRPr="00D17D8E" w:rsidRDefault="00EA1838" w:rsidP="00C57059">
            <w:pPr>
              <w:numPr>
                <w:ilvl w:val="0"/>
                <w:numId w:val="25"/>
              </w:numPr>
              <w:ind w:left="0" w:firstLine="0"/>
              <w:jc w:val="center"/>
              <w:rPr>
                <w:rFonts w:ascii="Century Gothic" w:hAnsi="Century Gothic"/>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36F73031" w14:textId="77777777" w:rsidR="00EA1838" w:rsidRPr="00D17D8E" w:rsidRDefault="00EA1838" w:rsidP="00C57059">
            <w:pPr>
              <w:rPr>
                <w:rFonts w:ascii="Century Gothic" w:hAnsi="Century Gothic"/>
                <w:sz w:val="16"/>
                <w:szCs w:val="16"/>
              </w:rPr>
            </w:pPr>
            <w:r w:rsidRPr="00D17D8E">
              <w:rPr>
                <w:rFonts w:ascii="Century Gothic" w:hAnsi="Century Gothic"/>
                <w:sz w:val="16"/>
                <w:szCs w:val="16"/>
              </w:rPr>
              <w:t xml:space="preserve">Pretendenta plānotā </w:t>
            </w:r>
            <w:proofErr w:type="spellStart"/>
            <w:r w:rsidRPr="00D17D8E">
              <w:rPr>
                <w:rFonts w:ascii="Century Gothic" w:hAnsi="Century Gothic"/>
                <w:sz w:val="16"/>
                <w:szCs w:val="16"/>
              </w:rPr>
              <w:t>jaunizveidojamā</w:t>
            </w:r>
            <w:proofErr w:type="spellEnd"/>
            <w:r w:rsidRPr="00D17D8E">
              <w:rPr>
                <w:rFonts w:ascii="Century Gothic" w:hAnsi="Century Gothic"/>
                <w:sz w:val="16"/>
                <w:szCs w:val="16"/>
              </w:rPr>
              <w:t xml:space="preserve"> finanšu pakalpojumu portfeļa garantijas likme (</w:t>
            </w:r>
            <w:proofErr w:type="spellStart"/>
            <w:r w:rsidRPr="00D17D8E">
              <w:rPr>
                <w:rFonts w:ascii="Century Gothic" w:hAnsi="Century Gothic"/>
                <w:sz w:val="16"/>
                <w:szCs w:val="16"/>
              </w:rPr>
              <w:t>max</w:t>
            </w:r>
            <w:proofErr w:type="spellEnd"/>
            <w:r w:rsidRPr="00D17D8E">
              <w:rPr>
                <w:rFonts w:ascii="Century Gothic" w:hAnsi="Century Gothic"/>
                <w:sz w:val="16"/>
                <w:szCs w:val="16"/>
              </w:rPr>
              <w:t xml:space="preserve"> 90%)</w:t>
            </w:r>
          </w:p>
        </w:tc>
        <w:tc>
          <w:tcPr>
            <w:tcW w:w="4111" w:type="dxa"/>
            <w:gridSpan w:val="4"/>
            <w:tcBorders>
              <w:top w:val="single" w:sz="4" w:space="0" w:color="000000"/>
              <w:left w:val="single" w:sz="4" w:space="0" w:color="000000"/>
              <w:bottom w:val="single" w:sz="4" w:space="0" w:color="000000"/>
              <w:right w:val="single" w:sz="4" w:space="0" w:color="000000"/>
            </w:tcBorders>
          </w:tcPr>
          <w:p w14:paraId="44008E02" w14:textId="77777777" w:rsidR="00EA1838" w:rsidRPr="00D17D8E" w:rsidRDefault="00EA1838" w:rsidP="00C57059">
            <w:pPr>
              <w:jc w:val="center"/>
              <w:rPr>
                <w:rFonts w:ascii="Century Gothic" w:hAnsi="Century Gothic"/>
                <w:sz w:val="16"/>
                <w:szCs w:val="16"/>
              </w:rPr>
            </w:pPr>
          </w:p>
        </w:tc>
        <w:tc>
          <w:tcPr>
            <w:tcW w:w="615" w:type="dxa"/>
            <w:tcBorders>
              <w:top w:val="single" w:sz="4" w:space="0" w:color="000000"/>
              <w:left w:val="single" w:sz="4" w:space="0" w:color="000000"/>
              <w:bottom w:val="single" w:sz="4" w:space="0" w:color="000000"/>
              <w:right w:val="single" w:sz="4" w:space="0" w:color="000000"/>
            </w:tcBorders>
            <w:hideMark/>
          </w:tcPr>
          <w:p w14:paraId="6454C422" w14:textId="77777777" w:rsidR="00EA1838" w:rsidRPr="00D17D8E" w:rsidRDefault="00EA1838" w:rsidP="00C57059">
            <w:pPr>
              <w:jc w:val="center"/>
              <w:rPr>
                <w:rFonts w:ascii="Century Gothic" w:hAnsi="Century Gothic"/>
                <w:sz w:val="16"/>
                <w:szCs w:val="16"/>
              </w:rPr>
            </w:pPr>
            <w:r w:rsidRPr="00D17D8E">
              <w:rPr>
                <w:rFonts w:ascii="Century Gothic" w:hAnsi="Century Gothic"/>
                <w:sz w:val="16"/>
                <w:szCs w:val="16"/>
              </w:rPr>
              <w:t>%</w:t>
            </w:r>
          </w:p>
        </w:tc>
      </w:tr>
      <w:tr w:rsidR="00EA1838" w:rsidRPr="00D17D8E" w14:paraId="63D41201" w14:textId="77777777" w:rsidTr="00C57059">
        <w:trPr>
          <w:gridAfter w:val="1"/>
          <w:wAfter w:w="6" w:type="dxa"/>
        </w:trPr>
        <w:tc>
          <w:tcPr>
            <w:tcW w:w="562" w:type="dxa"/>
            <w:tcBorders>
              <w:top w:val="single" w:sz="4" w:space="0" w:color="000000"/>
              <w:left w:val="single" w:sz="4" w:space="0" w:color="000000"/>
              <w:bottom w:val="single" w:sz="4" w:space="0" w:color="000000"/>
              <w:right w:val="single" w:sz="4" w:space="0" w:color="000000"/>
            </w:tcBorders>
          </w:tcPr>
          <w:p w14:paraId="328A6EAE" w14:textId="77777777" w:rsidR="00EA1838" w:rsidRPr="00D17D8E" w:rsidRDefault="00EA1838" w:rsidP="00C57059">
            <w:pPr>
              <w:numPr>
                <w:ilvl w:val="0"/>
                <w:numId w:val="25"/>
              </w:numPr>
              <w:ind w:left="0" w:firstLine="0"/>
              <w:jc w:val="center"/>
              <w:rPr>
                <w:rFonts w:ascii="Century Gothic" w:hAnsi="Century Gothic"/>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03C4D6EA" w14:textId="77777777" w:rsidR="00EA1838" w:rsidRPr="00D17D8E" w:rsidRDefault="00EA1838" w:rsidP="00C57059">
            <w:pPr>
              <w:rPr>
                <w:rFonts w:ascii="Century Gothic" w:hAnsi="Century Gothic"/>
                <w:sz w:val="16"/>
                <w:szCs w:val="16"/>
              </w:rPr>
            </w:pPr>
            <w:r w:rsidRPr="00D17D8E">
              <w:rPr>
                <w:rFonts w:ascii="Century Gothic" w:hAnsi="Century Gothic"/>
                <w:sz w:val="16"/>
                <w:szCs w:val="16"/>
              </w:rPr>
              <w:t xml:space="preserve">Pretendenta plānotā </w:t>
            </w:r>
            <w:proofErr w:type="spellStart"/>
            <w:r w:rsidRPr="00D17D8E">
              <w:rPr>
                <w:rFonts w:ascii="Century Gothic" w:hAnsi="Century Gothic"/>
                <w:sz w:val="16"/>
                <w:szCs w:val="16"/>
              </w:rPr>
              <w:t>jaunizveidojamā</w:t>
            </w:r>
            <w:proofErr w:type="spellEnd"/>
            <w:r w:rsidRPr="00D17D8E">
              <w:rPr>
                <w:rFonts w:ascii="Century Gothic" w:hAnsi="Century Gothic"/>
                <w:sz w:val="16"/>
                <w:szCs w:val="16"/>
              </w:rPr>
              <w:t xml:space="preserve"> finanšu pakalpojumu portfeļa  ierobežotās garantija likme (</w:t>
            </w:r>
            <w:proofErr w:type="spellStart"/>
            <w:r w:rsidRPr="00D17D8E">
              <w:rPr>
                <w:rFonts w:ascii="Century Gothic" w:hAnsi="Century Gothic"/>
                <w:i/>
                <w:sz w:val="16"/>
                <w:szCs w:val="16"/>
              </w:rPr>
              <w:t>cap</w:t>
            </w:r>
            <w:proofErr w:type="spellEnd"/>
            <w:r w:rsidRPr="00D17D8E">
              <w:rPr>
                <w:rFonts w:ascii="Century Gothic" w:hAnsi="Century Gothic"/>
                <w:i/>
                <w:sz w:val="16"/>
                <w:szCs w:val="16"/>
              </w:rPr>
              <w:t>)</w:t>
            </w:r>
            <w:r w:rsidRPr="00D17D8E">
              <w:rPr>
                <w:rFonts w:ascii="Century Gothic" w:hAnsi="Century Gothic"/>
                <w:sz w:val="16"/>
                <w:szCs w:val="16"/>
              </w:rPr>
              <w:t xml:space="preserve"> (</w:t>
            </w:r>
            <w:proofErr w:type="spellStart"/>
            <w:r w:rsidRPr="00D17D8E">
              <w:rPr>
                <w:rFonts w:ascii="Century Gothic" w:hAnsi="Century Gothic"/>
                <w:sz w:val="16"/>
                <w:szCs w:val="16"/>
              </w:rPr>
              <w:t>max</w:t>
            </w:r>
            <w:proofErr w:type="spellEnd"/>
            <w:r w:rsidRPr="00D17D8E">
              <w:rPr>
                <w:rFonts w:ascii="Century Gothic" w:hAnsi="Century Gothic"/>
                <w:sz w:val="16"/>
                <w:szCs w:val="16"/>
              </w:rPr>
              <w:t xml:space="preserve"> 25%) </w:t>
            </w:r>
          </w:p>
        </w:tc>
        <w:tc>
          <w:tcPr>
            <w:tcW w:w="4111" w:type="dxa"/>
            <w:gridSpan w:val="4"/>
            <w:tcBorders>
              <w:top w:val="single" w:sz="4" w:space="0" w:color="000000"/>
              <w:left w:val="single" w:sz="4" w:space="0" w:color="000000"/>
              <w:bottom w:val="single" w:sz="4" w:space="0" w:color="000000"/>
              <w:right w:val="single" w:sz="4" w:space="0" w:color="000000"/>
            </w:tcBorders>
          </w:tcPr>
          <w:p w14:paraId="31759059" w14:textId="77777777" w:rsidR="00EA1838" w:rsidRPr="00D17D8E" w:rsidRDefault="00EA1838" w:rsidP="00C57059">
            <w:pPr>
              <w:jc w:val="center"/>
              <w:rPr>
                <w:rFonts w:ascii="Century Gothic" w:hAnsi="Century Gothic"/>
                <w:sz w:val="16"/>
                <w:szCs w:val="16"/>
              </w:rPr>
            </w:pPr>
          </w:p>
        </w:tc>
        <w:tc>
          <w:tcPr>
            <w:tcW w:w="615" w:type="dxa"/>
            <w:tcBorders>
              <w:top w:val="single" w:sz="4" w:space="0" w:color="000000"/>
              <w:left w:val="single" w:sz="4" w:space="0" w:color="000000"/>
              <w:bottom w:val="single" w:sz="4" w:space="0" w:color="000000"/>
              <w:right w:val="single" w:sz="4" w:space="0" w:color="000000"/>
            </w:tcBorders>
            <w:hideMark/>
          </w:tcPr>
          <w:p w14:paraId="062F68CC" w14:textId="77777777" w:rsidR="00EA1838" w:rsidRPr="00D17D8E" w:rsidRDefault="00EA1838" w:rsidP="00C57059">
            <w:pPr>
              <w:jc w:val="center"/>
              <w:rPr>
                <w:rFonts w:ascii="Century Gothic" w:hAnsi="Century Gothic"/>
                <w:sz w:val="16"/>
                <w:szCs w:val="16"/>
              </w:rPr>
            </w:pPr>
            <w:r w:rsidRPr="00D17D8E">
              <w:rPr>
                <w:rFonts w:ascii="Century Gothic" w:hAnsi="Century Gothic"/>
                <w:sz w:val="16"/>
                <w:szCs w:val="16"/>
              </w:rPr>
              <w:t>%</w:t>
            </w:r>
          </w:p>
        </w:tc>
      </w:tr>
      <w:tr w:rsidR="00EA1838" w:rsidRPr="00D17D8E" w14:paraId="042C1C81" w14:textId="77777777" w:rsidTr="00C57059">
        <w:trPr>
          <w:gridAfter w:val="1"/>
          <w:wAfter w:w="6" w:type="dxa"/>
          <w:trHeight w:val="543"/>
        </w:trPr>
        <w:tc>
          <w:tcPr>
            <w:tcW w:w="562" w:type="dxa"/>
            <w:tcBorders>
              <w:top w:val="single" w:sz="4" w:space="0" w:color="000000"/>
              <w:left w:val="single" w:sz="4" w:space="0" w:color="000000"/>
              <w:bottom w:val="single" w:sz="4" w:space="0" w:color="000000"/>
              <w:right w:val="single" w:sz="4" w:space="0" w:color="000000"/>
            </w:tcBorders>
          </w:tcPr>
          <w:p w14:paraId="59C39D88" w14:textId="77777777" w:rsidR="00EA1838" w:rsidRPr="00D17D8E" w:rsidRDefault="00EA1838" w:rsidP="00C57059">
            <w:pPr>
              <w:numPr>
                <w:ilvl w:val="0"/>
                <w:numId w:val="25"/>
              </w:numPr>
              <w:ind w:left="0" w:firstLine="0"/>
              <w:jc w:val="center"/>
              <w:rPr>
                <w:rFonts w:ascii="Century Gothic" w:hAnsi="Century Gothic"/>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407F5D32" w14:textId="77777777" w:rsidR="00EA1838" w:rsidRPr="00D17D8E" w:rsidRDefault="00EA1838" w:rsidP="00C57059">
            <w:pPr>
              <w:rPr>
                <w:rFonts w:ascii="Century Gothic" w:hAnsi="Century Gothic"/>
                <w:sz w:val="16"/>
                <w:szCs w:val="16"/>
              </w:rPr>
            </w:pPr>
            <w:r w:rsidRPr="00D17D8E">
              <w:rPr>
                <w:rFonts w:ascii="Century Gothic" w:hAnsi="Century Gothic"/>
                <w:sz w:val="16"/>
                <w:szCs w:val="16"/>
              </w:rPr>
              <w:t>Pretendenta plānotā neatmaksāto zaudējumu atgūšanas likme (fiksētā atgūšanas likme)</w:t>
            </w:r>
          </w:p>
        </w:tc>
        <w:tc>
          <w:tcPr>
            <w:tcW w:w="4111" w:type="dxa"/>
            <w:gridSpan w:val="4"/>
            <w:tcBorders>
              <w:top w:val="single" w:sz="4" w:space="0" w:color="000000"/>
              <w:left w:val="single" w:sz="4" w:space="0" w:color="000000"/>
              <w:bottom w:val="single" w:sz="4" w:space="0" w:color="000000"/>
              <w:right w:val="single" w:sz="4" w:space="0" w:color="000000"/>
            </w:tcBorders>
          </w:tcPr>
          <w:p w14:paraId="71272B7E" w14:textId="77777777" w:rsidR="00EA1838" w:rsidRPr="00D17D8E" w:rsidRDefault="00EA1838" w:rsidP="00C57059">
            <w:pPr>
              <w:jc w:val="center"/>
              <w:rPr>
                <w:rFonts w:ascii="Century Gothic" w:hAnsi="Century Gothic"/>
                <w:sz w:val="16"/>
                <w:szCs w:val="16"/>
              </w:rPr>
            </w:pPr>
          </w:p>
        </w:tc>
        <w:tc>
          <w:tcPr>
            <w:tcW w:w="615" w:type="dxa"/>
            <w:tcBorders>
              <w:top w:val="single" w:sz="4" w:space="0" w:color="000000"/>
              <w:left w:val="single" w:sz="4" w:space="0" w:color="000000"/>
              <w:bottom w:val="single" w:sz="4" w:space="0" w:color="000000"/>
              <w:right w:val="single" w:sz="4" w:space="0" w:color="000000"/>
            </w:tcBorders>
            <w:hideMark/>
          </w:tcPr>
          <w:p w14:paraId="06BC62EF" w14:textId="77777777" w:rsidR="00EA1838" w:rsidRPr="00D17D8E" w:rsidRDefault="00EA1838" w:rsidP="00C57059">
            <w:pPr>
              <w:jc w:val="center"/>
              <w:rPr>
                <w:rFonts w:ascii="Century Gothic" w:hAnsi="Century Gothic"/>
                <w:sz w:val="16"/>
                <w:szCs w:val="16"/>
              </w:rPr>
            </w:pPr>
            <w:r w:rsidRPr="00D17D8E">
              <w:rPr>
                <w:rFonts w:ascii="Century Gothic" w:hAnsi="Century Gothic"/>
                <w:sz w:val="16"/>
                <w:szCs w:val="16"/>
              </w:rPr>
              <w:t>%</w:t>
            </w:r>
          </w:p>
        </w:tc>
      </w:tr>
      <w:tr w:rsidR="00EA1838" w:rsidRPr="00D17D8E" w14:paraId="5A6D1FA6" w14:textId="77777777" w:rsidTr="00C57059">
        <w:trPr>
          <w:gridAfter w:val="1"/>
          <w:wAfter w:w="6" w:type="dxa"/>
          <w:trHeight w:val="107"/>
        </w:trPr>
        <w:tc>
          <w:tcPr>
            <w:tcW w:w="562" w:type="dxa"/>
            <w:vMerge w:val="restart"/>
            <w:tcBorders>
              <w:top w:val="single" w:sz="4" w:space="0" w:color="000000"/>
              <w:left w:val="single" w:sz="4" w:space="0" w:color="000000"/>
              <w:right w:val="single" w:sz="4" w:space="0" w:color="000000"/>
            </w:tcBorders>
          </w:tcPr>
          <w:p w14:paraId="2B4E44C0" w14:textId="77777777" w:rsidR="00EA1838" w:rsidRPr="00D17D8E" w:rsidRDefault="00EA1838" w:rsidP="00C57059">
            <w:pPr>
              <w:numPr>
                <w:ilvl w:val="0"/>
                <w:numId w:val="25"/>
              </w:numPr>
              <w:ind w:left="0" w:firstLine="0"/>
              <w:jc w:val="center"/>
              <w:rPr>
                <w:rFonts w:ascii="Century Gothic" w:hAnsi="Century Gothic"/>
                <w:sz w:val="16"/>
                <w:szCs w:val="16"/>
              </w:rPr>
            </w:pPr>
          </w:p>
        </w:tc>
        <w:tc>
          <w:tcPr>
            <w:tcW w:w="4111" w:type="dxa"/>
            <w:vMerge w:val="restart"/>
            <w:tcBorders>
              <w:top w:val="single" w:sz="4" w:space="0" w:color="000000"/>
              <w:left w:val="single" w:sz="4" w:space="0" w:color="000000"/>
              <w:right w:val="single" w:sz="4" w:space="0" w:color="000000"/>
            </w:tcBorders>
            <w:hideMark/>
          </w:tcPr>
          <w:p w14:paraId="74B042F4" w14:textId="77777777" w:rsidR="00EA1838" w:rsidRPr="00D17D8E" w:rsidRDefault="00EA1838" w:rsidP="00C57059">
            <w:pPr>
              <w:rPr>
                <w:rFonts w:ascii="Century Gothic" w:hAnsi="Century Gothic"/>
                <w:sz w:val="16"/>
                <w:szCs w:val="16"/>
              </w:rPr>
            </w:pPr>
            <w:r w:rsidRPr="00D17D8E">
              <w:rPr>
                <w:rFonts w:ascii="Century Gothic" w:hAnsi="Century Gothic"/>
                <w:sz w:val="16"/>
                <w:szCs w:val="16"/>
              </w:rPr>
              <w:t xml:space="preserve">Pretendenta plānotā piešķirtā aizdevumu (parakstīto līgumu) summa ar Altum </w:t>
            </w:r>
            <w:proofErr w:type="spellStart"/>
            <w:r w:rsidRPr="00D17D8E">
              <w:rPr>
                <w:rFonts w:ascii="Century Gothic" w:hAnsi="Century Gothic"/>
                <w:sz w:val="16"/>
                <w:szCs w:val="16"/>
              </w:rPr>
              <w:t>portfeļgarantiju</w:t>
            </w:r>
            <w:proofErr w:type="spellEnd"/>
            <w:r w:rsidRPr="00D17D8E">
              <w:rPr>
                <w:rFonts w:ascii="Century Gothic" w:hAnsi="Century Gothic"/>
                <w:sz w:val="16"/>
                <w:szCs w:val="16"/>
              </w:rPr>
              <w:t xml:space="preserve"> līdz 31.12.2024. Iepriekšējā kalendārā gadā nepiešķirtos aizdevumus var piešķirt turpmākajos gados un otrādi, ar nosacījumu, ka jebkuru aizdevumu izmaksa, neatkarīgi no piešķiršanas gada, tiek veikta, ievērojot 7.punktā paredzētos ierobežojumus.</w:t>
            </w:r>
          </w:p>
        </w:tc>
        <w:tc>
          <w:tcPr>
            <w:tcW w:w="709" w:type="dxa"/>
            <w:tcBorders>
              <w:top w:val="single" w:sz="4" w:space="0" w:color="000000"/>
              <w:left w:val="single" w:sz="4" w:space="0" w:color="000000"/>
              <w:bottom w:val="single" w:sz="4" w:space="0" w:color="000000"/>
              <w:right w:val="single" w:sz="4" w:space="0" w:color="000000"/>
            </w:tcBorders>
            <w:hideMark/>
          </w:tcPr>
          <w:p w14:paraId="2905763D" w14:textId="77777777" w:rsidR="00EA1838" w:rsidRPr="00D17D8E" w:rsidRDefault="00EA1838" w:rsidP="00C57059">
            <w:pPr>
              <w:jc w:val="center"/>
              <w:rPr>
                <w:rFonts w:ascii="Century Gothic" w:hAnsi="Century Gothic"/>
                <w:sz w:val="16"/>
                <w:szCs w:val="16"/>
              </w:rPr>
            </w:pPr>
            <w:r w:rsidRPr="00D17D8E">
              <w:rPr>
                <w:rFonts w:ascii="Century Gothic" w:hAnsi="Century Gothic"/>
                <w:sz w:val="16"/>
                <w:szCs w:val="16"/>
              </w:rPr>
              <w:t>Gads</w:t>
            </w:r>
          </w:p>
        </w:tc>
        <w:tc>
          <w:tcPr>
            <w:tcW w:w="1134" w:type="dxa"/>
            <w:tcBorders>
              <w:top w:val="single" w:sz="4" w:space="0" w:color="000000"/>
              <w:left w:val="single" w:sz="4" w:space="0" w:color="000000"/>
              <w:bottom w:val="single" w:sz="4" w:space="0" w:color="000000"/>
              <w:right w:val="single" w:sz="4" w:space="0" w:color="000000"/>
            </w:tcBorders>
          </w:tcPr>
          <w:p w14:paraId="5195D5B4" w14:textId="77777777" w:rsidR="00EA1838" w:rsidRPr="00D17D8E" w:rsidRDefault="00EA1838" w:rsidP="00C57059">
            <w:pPr>
              <w:jc w:val="center"/>
              <w:rPr>
                <w:rFonts w:ascii="Century Gothic" w:hAnsi="Century Gothic"/>
                <w:sz w:val="16"/>
                <w:szCs w:val="16"/>
              </w:rPr>
            </w:pPr>
            <w:r w:rsidRPr="00D17D8E">
              <w:rPr>
                <w:rFonts w:ascii="Century Gothic" w:hAnsi="Century Gothic"/>
                <w:sz w:val="16"/>
                <w:szCs w:val="16"/>
              </w:rPr>
              <w:t>Saskaņā ar nolikumu</w:t>
            </w:r>
          </w:p>
        </w:tc>
        <w:tc>
          <w:tcPr>
            <w:tcW w:w="1417" w:type="dxa"/>
            <w:tcBorders>
              <w:top w:val="single" w:sz="4" w:space="0" w:color="000000"/>
              <w:left w:val="single" w:sz="4" w:space="0" w:color="000000"/>
              <w:bottom w:val="single" w:sz="4" w:space="0" w:color="000000"/>
              <w:right w:val="single" w:sz="4" w:space="0" w:color="000000"/>
            </w:tcBorders>
          </w:tcPr>
          <w:p w14:paraId="7C344888" w14:textId="77777777" w:rsidR="00EA1838" w:rsidRPr="00D17D8E" w:rsidRDefault="00EA1838" w:rsidP="00C57059">
            <w:pPr>
              <w:jc w:val="center"/>
              <w:rPr>
                <w:rFonts w:ascii="Century Gothic" w:hAnsi="Century Gothic"/>
                <w:sz w:val="16"/>
                <w:szCs w:val="16"/>
              </w:rPr>
            </w:pPr>
            <w:r w:rsidRPr="00D17D8E">
              <w:rPr>
                <w:rFonts w:ascii="Century Gothic" w:hAnsi="Century Gothic"/>
                <w:sz w:val="16"/>
                <w:szCs w:val="16"/>
              </w:rPr>
              <w:t>Atbilstoši papildus finansējumam</w:t>
            </w:r>
          </w:p>
        </w:tc>
        <w:tc>
          <w:tcPr>
            <w:tcW w:w="851" w:type="dxa"/>
            <w:tcBorders>
              <w:top w:val="single" w:sz="4" w:space="0" w:color="000000"/>
              <w:left w:val="single" w:sz="4" w:space="0" w:color="000000"/>
              <w:right w:val="single" w:sz="4" w:space="0" w:color="000000"/>
            </w:tcBorders>
          </w:tcPr>
          <w:p w14:paraId="7CCF8A0E" w14:textId="77777777" w:rsidR="00EA1838" w:rsidRPr="00D17D8E" w:rsidRDefault="00EA1838" w:rsidP="00C57059">
            <w:pPr>
              <w:jc w:val="center"/>
              <w:rPr>
                <w:rFonts w:ascii="Century Gothic" w:hAnsi="Century Gothic"/>
                <w:sz w:val="16"/>
                <w:szCs w:val="16"/>
              </w:rPr>
            </w:pPr>
            <w:r w:rsidRPr="00D17D8E">
              <w:rPr>
                <w:rFonts w:ascii="Century Gothic" w:hAnsi="Century Gothic"/>
                <w:sz w:val="16"/>
                <w:szCs w:val="16"/>
              </w:rPr>
              <w:t>KOPĀ</w:t>
            </w:r>
          </w:p>
        </w:tc>
        <w:tc>
          <w:tcPr>
            <w:tcW w:w="615" w:type="dxa"/>
            <w:tcBorders>
              <w:top w:val="single" w:sz="4" w:space="0" w:color="000000"/>
              <w:left w:val="single" w:sz="4" w:space="0" w:color="000000"/>
              <w:right w:val="single" w:sz="4" w:space="0" w:color="000000"/>
            </w:tcBorders>
            <w:hideMark/>
          </w:tcPr>
          <w:p w14:paraId="40F036A5" w14:textId="77777777" w:rsidR="00EA1838" w:rsidRPr="00D17D8E" w:rsidRDefault="00EA1838" w:rsidP="00C57059">
            <w:pPr>
              <w:jc w:val="center"/>
              <w:rPr>
                <w:rFonts w:ascii="Century Gothic" w:hAnsi="Century Gothic"/>
                <w:i/>
                <w:sz w:val="16"/>
                <w:szCs w:val="16"/>
              </w:rPr>
            </w:pPr>
            <w:r w:rsidRPr="00D17D8E">
              <w:rPr>
                <w:rFonts w:ascii="Century Gothic" w:hAnsi="Century Gothic"/>
                <w:i/>
                <w:sz w:val="16"/>
                <w:szCs w:val="16"/>
              </w:rPr>
              <w:t xml:space="preserve">      </w:t>
            </w:r>
          </w:p>
        </w:tc>
      </w:tr>
      <w:tr w:rsidR="00EA1838" w:rsidRPr="00D17D8E" w14:paraId="6D717800" w14:textId="77777777" w:rsidTr="00C57059">
        <w:trPr>
          <w:gridAfter w:val="1"/>
          <w:wAfter w:w="6" w:type="dxa"/>
          <w:trHeight w:val="106"/>
        </w:trPr>
        <w:tc>
          <w:tcPr>
            <w:tcW w:w="562" w:type="dxa"/>
            <w:vMerge/>
            <w:tcBorders>
              <w:left w:val="single" w:sz="4" w:space="0" w:color="000000"/>
              <w:right w:val="single" w:sz="4" w:space="0" w:color="000000"/>
            </w:tcBorders>
          </w:tcPr>
          <w:p w14:paraId="2763F6A0" w14:textId="77777777" w:rsidR="00EA1838" w:rsidRPr="00D17D8E" w:rsidRDefault="00EA1838" w:rsidP="00C57059">
            <w:pPr>
              <w:numPr>
                <w:ilvl w:val="0"/>
                <w:numId w:val="25"/>
              </w:numPr>
              <w:ind w:left="0" w:firstLine="0"/>
              <w:jc w:val="center"/>
              <w:rPr>
                <w:rFonts w:ascii="Century Gothic" w:hAnsi="Century Gothic"/>
                <w:sz w:val="16"/>
                <w:szCs w:val="16"/>
              </w:rPr>
            </w:pPr>
          </w:p>
        </w:tc>
        <w:tc>
          <w:tcPr>
            <w:tcW w:w="4111" w:type="dxa"/>
            <w:vMerge/>
            <w:tcBorders>
              <w:left w:val="single" w:sz="4" w:space="0" w:color="000000"/>
              <w:right w:val="single" w:sz="4" w:space="0" w:color="000000"/>
            </w:tcBorders>
          </w:tcPr>
          <w:p w14:paraId="40F9315D" w14:textId="77777777" w:rsidR="00EA1838" w:rsidRPr="00D17D8E" w:rsidRDefault="00EA1838" w:rsidP="00C57059">
            <w:pPr>
              <w:rPr>
                <w:rFonts w:ascii="Century Gothic" w:hAnsi="Century Gothic"/>
                <w:sz w:val="16"/>
                <w:szCs w:val="16"/>
              </w:rPr>
            </w:pPr>
          </w:p>
        </w:tc>
        <w:tc>
          <w:tcPr>
            <w:tcW w:w="709" w:type="dxa"/>
            <w:tcBorders>
              <w:top w:val="single" w:sz="4" w:space="0" w:color="000000"/>
              <w:left w:val="single" w:sz="4" w:space="0" w:color="000000"/>
              <w:bottom w:val="single" w:sz="4" w:space="0" w:color="000000"/>
              <w:right w:val="single" w:sz="4" w:space="0" w:color="000000"/>
            </w:tcBorders>
          </w:tcPr>
          <w:p w14:paraId="32E7A370" w14:textId="77777777" w:rsidR="00EA1838" w:rsidRPr="00D17D8E" w:rsidRDefault="00EA1838" w:rsidP="00C57059">
            <w:pPr>
              <w:jc w:val="center"/>
              <w:rPr>
                <w:rFonts w:ascii="Century Gothic" w:hAnsi="Century Gothic"/>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7B75D3AE" w14:textId="77777777" w:rsidR="00EA1838" w:rsidRPr="00D17D8E" w:rsidRDefault="00EA1838" w:rsidP="00C57059">
            <w:pPr>
              <w:jc w:val="center"/>
              <w:rPr>
                <w:rFonts w:ascii="Century Gothic" w:hAnsi="Century Gothic"/>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7246ABCD" w14:textId="77777777" w:rsidR="00EA1838" w:rsidRPr="00D17D8E" w:rsidRDefault="00EA1838" w:rsidP="00C57059">
            <w:pPr>
              <w:jc w:val="center"/>
              <w:rPr>
                <w:rFonts w:ascii="Century Gothic" w:hAnsi="Century Gothic"/>
                <w:sz w:val="16"/>
                <w:szCs w:val="16"/>
              </w:rPr>
            </w:pPr>
          </w:p>
        </w:tc>
        <w:tc>
          <w:tcPr>
            <w:tcW w:w="851" w:type="dxa"/>
            <w:tcBorders>
              <w:left w:val="single" w:sz="4" w:space="0" w:color="000000"/>
              <w:bottom w:val="single" w:sz="4" w:space="0" w:color="000000"/>
              <w:right w:val="single" w:sz="4" w:space="0" w:color="000000"/>
            </w:tcBorders>
          </w:tcPr>
          <w:p w14:paraId="1C39BF67" w14:textId="77777777" w:rsidR="00EA1838" w:rsidRPr="00D17D8E" w:rsidRDefault="00EA1838" w:rsidP="00C57059">
            <w:pPr>
              <w:jc w:val="center"/>
              <w:rPr>
                <w:rFonts w:ascii="Century Gothic" w:hAnsi="Century Gothic"/>
                <w:sz w:val="16"/>
                <w:szCs w:val="16"/>
              </w:rPr>
            </w:pPr>
          </w:p>
        </w:tc>
        <w:tc>
          <w:tcPr>
            <w:tcW w:w="615" w:type="dxa"/>
            <w:tcBorders>
              <w:left w:val="single" w:sz="4" w:space="0" w:color="000000"/>
              <w:bottom w:val="single" w:sz="4" w:space="0" w:color="000000"/>
              <w:right w:val="single" w:sz="4" w:space="0" w:color="000000"/>
            </w:tcBorders>
          </w:tcPr>
          <w:p w14:paraId="6E70837E" w14:textId="77777777" w:rsidR="00EA1838" w:rsidRPr="00D17D8E" w:rsidRDefault="00EA1838" w:rsidP="00C57059">
            <w:pPr>
              <w:jc w:val="center"/>
              <w:rPr>
                <w:rFonts w:ascii="Century Gothic" w:hAnsi="Century Gothic"/>
                <w:i/>
                <w:sz w:val="16"/>
                <w:szCs w:val="16"/>
              </w:rPr>
            </w:pPr>
            <w:r w:rsidRPr="00D17D8E">
              <w:rPr>
                <w:rFonts w:ascii="Century Gothic" w:hAnsi="Century Gothic"/>
                <w:i/>
                <w:sz w:val="16"/>
                <w:szCs w:val="16"/>
              </w:rPr>
              <w:t>euro</w:t>
            </w:r>
          </w:p>
        </w:tc>
      </w:tr>
      <w:tr w:rsidR="00EA1838" w:rsidRPr="00D17D8E" w14:paraId="29E1386E" w14:textId="77777777" w:rsidTr="00C57059">
        <w:trPr>
          <w:gridAfter w:val="1"/>
          <w:wAfter w:w="6" w:type="dxa"/>
          <w:trHeight w:val="120"/>
        </w:trPr>
        <w:tc>
          <w:tcPr>
            <w:tcW w:w="562" w:type="dxa"/>
            <w:vMerge/>
            <w:tcBorders>
              <w:left w:val="single" w:sz="4" w:space="0" w:color="000000"/>
              <w:right w:val="single" w:sz="4" w:space="0" w:color="000000"/>
            </w:tcBorders>
            <w:vAlign w:val="center"/>
            <w:hideMark/>
          </w:tcPr>
          <w:p w14:paraId="35158253" w14:textId="77777777" w:rsidR="00EA1838" w:rsidRPr="00D17D8E" w:rsidRDefault="00EA1838" w:rsidP="00C57059">
            <w:pPr>
              <w:jc w:val="center"/>
              <w:rPr>
                <w:rFonts w:ascii="Century Gothic" w:hAnsi="Century Gothic"/>
                <w:sz w:val="16"/>
                <w:szCs w:val="16"/>
              </w:rPr>
            </w:pPr>
          </w:p>
        </w:tc>
        <w:tc>
          <w:tcPr>
            <w:tcW w:w="4111" w:type="dxa"/>
            <w:vMerge/>
            <w:tcBorders>
              <w:left w:val="single" w:sz="4" w:space="0" w:color="000000"/>
              <w:right w:val="single" w:sz="4" w:space="0" w:color="000000"/>
            </w:tcBorders>
            <w:vAlign w:val="center"/>
            <w:hideMark/>
          </w:tcPr>
          <w:p w14:paraId="15357A67" w14:textId="77777777" w:rsidR="00EA1838" w:rsidRPr="00D17D8E" w:rsidRDefault="00EA1838" w:rsidP="00C57059">
            <w:pPr>
              <w:rPr>
                <w:rFonts w:ascii="Century Gothic" w:hAnsi="Century Gothic"/>
                <w:sz w:val="16"/>
                <w:szCs w:val="16"/>
              </w:rPr>
            </w:pPr>
          </w:p>
        </w:tc>
        <w:tc>
          <w:tcPr>
            <w:tcW w:w="709" w:type="dxa"/>
            <w:tcBorders>
              <w:top w:val="single" w:sz="4" w:space="0" w:color="000000"/>
              <w:left w:val="single" w:sz="4" w:space="0" w:color="000000"/>
              <w:bottom w:val="single" w:sz="4" w:space="0" w:color="000000"/>
              <w:right w:val="single" w:sz="4" w:space="0" w:color="000000"/>
            </w:tcBorders>
          </w:tcPr>
          <w:p w14:paraId="3FA58980" w14:textId="77777777" w:rsidR="00EA1838" w:rsidRPr="00D17D8E" w:rsidRDefault="00EA1838" w:rsidP="00C57059">
            <w:pPr>
              <w:jc w:val="center"/>
              <w:rPr>
                <w:rFonts w:ascii="Century Gothic" w:hAnsi="Century Gothic"/>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4C98C34C" w14:textId="77777777" w:rsidR="00EA1838" w:rsidRPr="00D17D8E" w:rsidRDefault="00EA1838" w:rsidP="00C57059">
            <w:pPr>
              <w:jc w:val="center"/>
              <w:rPr>
                <w:rFonts w:ascii="Century Gothic" w:hAnsi="Century Gothic"/>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1B89259C" w14:textId="77777777" w:rsidR="00EA1838" w:rsidRPr="00D17D8E" w:rsidRDefault="00EA1838" w:rsidP="00C57059">
            <w:pPr>
              <w:jc w:val="center"/>
              <w:rPr>
                <w:rFonts w:ascii="Century Gothic" w:hAnsi="Century Gothic"/>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777493D5" w14:textId="77777777" w:rsidR="00EA1838" w:rsidRPr="00D17D8E" w:rsidRDefault="00EA1838" w:rsidP="00C57059">
            <w:pPr>
              <w:jc w:val="center"/>
              <w:rPr>
                <w:rFonts w:ascii="Century Gothic" w:hAnsi="Century Gothic"/>
                <w:sz w:val="16"/>
                <w:szCs w:val="16"/>
              </w:rPr>
            </w:pPr>
          </w:p>
        </w:tc>
        <w:tc>
          <w:tcPr>
            <w:tcW w:w="615" w:type="dxa"/>
            <w:tcBorders>
              <w:top w:val="single" w:sz="4" w:space="0" w:color="000000"/>
              <w:left w:val="single" w:sz="4" w:space="0" w:color="000000"/>
              <w:bottom w:val="single" w:sz="4" w:space="0" w:color="000000"/>
              <w:right w:val="single" w:sz="4" w:space="0" w:color="000000"/>
            </w:tcBorders>
            <w:hideMark/>
          </w:tcPr>
          <w:p w14:paraId="4E583B21" w14:textId="77777777" w:rsidR="00EA1838" w:rsidRPr="00D17D8E" w:rsidRDefault="00EA1838" w:rsidP="00C57059">
            <w:pPr>
              <w:jc w:val="center"/>
              <w:rPr>
                <w:rFonts w:ascii="Century Gothic" w:hAnsi="Century Gothic"/>
                <w:i/>
                <w:sz w:val="16"/>
                <w:szCs w:val="16"/>
              </w:rPr>
            </w:pPr>
            <w:r w:rsidRPr="00D17D8E">
              <w:rPr>
                <w:rFonts w:ascii="Century Gothic" w:hAnsi="Century Gothic"/>
                <w:i/>
                <w:sz w:val="16"/>
                <w:szCs w:val="16"/>
              </w:rPr>
              <w:t>euro</w:t>
            </w:r>
          </w:p>
        </w:tc>
      </w:tr>
      <w:tr w:rsidR="00EA1838" w:rsidRPr="00D17D8E" w14:paraId="626AEA38" w14:textId="77777777" w:rsidTr="00C57059">
        <w:trPr>
          <w:gridAfter w:val="1"/>
          <w:wAfter w:w="6" w:type="dxa"/>
          <w:trHeight w:val="240"/>
        </w:trPr>
        <w:tc>
          <w:tcPr>
            <w:tcW w:w="562" w:type="dxa"/>
            <w:vMerge/>
            <w:tcBorders>
              <w:left w:val="single" w:sz="4" w:space="0" w:color="000000"/>
              <w:right w:val="single" w:sz="4" w:space="0" w:color="000000"/>
            </w:tcBorders>
            <w:vAlign w:val="center"/>
            <w:hideMark/>
          </w:tcPr>
          <w:p w14:paraId="403EACD4" w14:textId="77777777" w:rsidR="00EA1838" w:rsidRPr="00D17D8E" w:rsidRDefault="00EA1838" w:rsidP="00C57059">
            <w:pPr>
              <w:jc w:val="center"/>
              <w:rPr>
                <w:rFonts w:ascii="Century Gothic" w:hAnsi="Century Gothic"/>
                <w:sz w:val="16"/>
                <w:szCs w:val="16"/>
              </w:rPr>
            </w:pPr>
          </w:p>
        </w:tc>
        <w:tc>
          <w:tcPr>
            <w:tcW w:w="4111" w:type="dxa"/>
            <w:vMerge/>
            <w:tcBorders>
              <w:left w:val="single" w:sz="4" w:space="0" w:color="000000"/>
              <w:right w:val="single" w:sz="4" w:space="0" w:color="000000"/>
            </w:tcBorders>
            <w:vAlign w:val="center"/>
            <w:hideMark/>
          </w:tcPr>
          <w:p w14:paraId="3F7904D3" w14:textId="77777777" w:rsidR="00EA1838" w:rsidRPr="00D17D8E" w:rsidRDefault="00EA1838" w:rsidP="00C57059">
            <w:pPr>
              <w:rPr>
                <w:rFonts w:ascii="Century Gothic" w:hAnsi="Century Gothic"/>
                <w:sz w:val="16"/>
                <w:szCs w:val="16"/>
              </w:rPr>
            </w:pPr>
          </w:p>
        </w:tc>
        <w:tc>
          <w:tcPr>
            <w:tcW w:w="709" w:type="dxa"/>
            <w:tcBorders>
              <w:top w:val="single" w:sz="4" w:space="0" w:color="000000"/>
              <w:left w:val="single" w:sz="4" w:space="0" w:color="000000"/>
              <w:bottom w:val="single" w:sz="4" w:space="0" w:color="000000"/>
              <w:right w:val="single" w:sz="4" w:space="0" w:color="000000"/>
            </w:tcBorders>
          </w:tcPr>
          <w:p w14:paraId="20BAFB41" w14:textId="77777777" w:rsidR="00EA1838" w:rsidRPr="00D17D8E" w:rsidRDefault="00EA1838" w:rsidP="00C57059">
            <w:pPr>
              <w:jc w:val="center"/>
              <w:rPr>
                <w:rFonts w:ascii="Century Gothic" w:hAnsi="Century Gothic"/>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4045B5F8" w14:textId="77777777" w:rsidR="00EA1838" w:rsidRPr="00D17D8E" w:rsidRDefault="00EA1838" w:rsidP="00C57059">
            <w:pPr>
              <w:jc w:val="center"/>
              <w:rPr>
                <w:rFonts w:ascii="Century Gothic" w:hAnsi="Century Gothic"/>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4D62BE43" w14:textId="77777777" w:rsidR="00EA1838" w:rsidRPr="00D17D8E" w:rsidRDefault="00EA1838" w:rsidP="00C57059">
            <w:pPr>
              <w:jc w:val="center"/>
              <w:rPr>
                <w:rFonts w:ascii="Century Gothic" w:hAnsi="Century Gothic"/>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602A0201" w14:textId="77777777" w:rsidR="00EA1838" w:rsidRPr="00D17D8E" w:rsidRDefault="00EA1838" w:rsidP="00C57059">
            <w:pPr>
              <w:jc w:val="center"/>
              <w:rPr>
                <w:rFonts w:ascii="Century Gothic" w:hAnsi="Century Gothic"/>
                <w:sz w:val="16"/>
                <w:szCs w:val="16"/>
              </w:rPr>
            </w:pPr>
          </w:p>
        </w:tc>
        <w:tc>
          <w:tcPr>
            <w:tcW w:w="615" w:type="dxa"/>
            <w:tcBorders>
              <w:top w:val="single" w:sz="4" w:space="0" w:color="000000"/>
              <w:left w:val="single" w:sz="4" w:space="0" w:color="000000"/>
              <w:bottom w:val="single" w:sz="4" w:space="0" w:color="000000"/>
              <w:right w:val="single" w:sz="4" w:space="0" w:color="000000"/>
            </w:tcBorders>
            <w:hideMark/>
          </w:tcPr>
          <w:p w14:paraId="469BCF42" w14:textId="77777777" w:rsidR="00EA1838" w:rsidRPr="00D17D8E" w:rsidRDefault="00EA1838" w:rsidP="00C57059">
            <w:pPr>
              <w:jc w:val="center"/>
              <w:rPr>
                <w:rFonts w:ascii="Century Gothic" w:hAnsi="Century Gothic"/>
                <w:i/>
                <w:sz w:val="16"/>
                <w:szCs w:val="16"/>
              </w:rPr>
            </w:pPr>
            <w:r w:rsidRPr="00D17D8E">
              <w:rPr>
                <w:rFonts w:ascii="Century Gothic" w:hAnsi="Century Gothic"/>
                <w:i/>
                <w:sz w:val="16"/>
                <w:szCs w:val="16"/>
              </w:rPr>
              <w:t>euro</w:t>
            </w:r>
          </w:p>
        </w:tc>
      </w:tr>
      <w:tr w:rsidR="00EA1838" w:rsidRPr="00D17D8E" w14:paraId="3982E1DC" w14:textId="77777777" w:rsidTr="00C57059">
        <w:trPr>
          <w:gridAfter w:val="1"/>
          <w:wAfter w:w="6" w:type="dxa"/>
          <w:trHeight w:val="120"/>
        </w:trPr>
        <w:tc>
          <w:tcPr>
            <w:tcW w:w="562" w:type="dxa"/>
            <w:vMerge/>
            <w:tcBorders>
              <w:left w:val="single" w:sz="4" w:space="0" w:color="000000"/>
              <w:right w:val="single" w:sz="4" w:space="0" w:color="000000"/>
            </w:tcBorders>
            <w:vAlign w:val="center"/>
            <w:hideMark/>
          </w:tcPr>
          <w:p w14:paraId="3AA85EFB" w14:textId="77777777" w:rsidR="00EA1838" w:rsidRPr="00D17D8E" w:rsidRDefault="00EA1838" w:rsidP="00C57059">
            <w:pPr>
              <w:jc w:val="center"/>
              <w:rPr>
                <w:rFonts w:ascii="Century Gothic" w:hAnsi="Century Gothic"/>
                <w:sz w:val="16"/>
                <w:szCs w:val="16"/>
              </w:rPr>
            </w:pPr>
          </w:p>
        </w:tc>
        <w:tc>
          <w:tcPr>
            <w:tcW w:w="4111" w:type="dxa"/>
            <w:vMerge/>
            <w:tcBorders>
              <w:left w:val="single" w:sz="4" w:space="0" w:color="000000"/>
              <w:right w:val="single" w:sz="4" w:space="0" w:color="000000"/>
            </w:tcBorders>
            <w:vAlign w:val="center"/>
            <w:hideMark/>
          </w:tcPr>
          <w:p w14:paraId="68508797" w14:textId="77777777" w:rsidR="00EA1838" w:rsidRPr="00D17D8E" w:rsidRDefault="00EA1838" w:rsidP="00C57059">
            <w:pPr>
              <w:rPr>
                <w:rFonts w:ascii="Century Gothic" w:hAnsi="Century Gothic"/>
                <w:sz w:val="16"/>
                <w:szCs w:val="16"/>
              </w:rPr>
            </w:pPr>
          </w:p>
        </w:tc>
        <w:tc>
          <w:tcPr>
            <w:tcW w:w="709" w:type="dxa"/>
            <w:tcBorders>
              <w:top w:val="single" w:sz="4" w:space="0" w:color="000000"/>
              <w:left w:val="single" w:sz="4" w:space="0" w:color="000000"/>
              <w:bottom w:val="single" w:sz="4" w:space="0" w:color="000000"/>
              <w:right w:val="single" w:sz="4" w:space="0" w:color="000000"/>
            </w:tcBorders>
          </w:tcPr>
          <w:p w14:paraId="746EA5D6" w14:textId="77777777" w:rsidR="00EA1838" w:rsidRPr="00D17D8E" w:rsidRDefault="00EA1838" w:rsidP="00C57059">
            <w:pPr>
              <w:jc w:val="center"/>
              <w:rPr>
                <w:rFonts w:ascii="Century Gothic" w:hAnsi="Century Gothic"/>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53DCF7DB" w14:textId="77777777" w:rsidR="00EA1838" w:rsidRPr="00D17D8E" w:rsidRDefault="00EA1838" w:rsidP="00C57059">
            <w:pPr>
              <w:jc w:val="center"/>
              <w:rPr>
                <w:rFonts w:ascii="Century Gothic" w:hAnsi="Century Gothic"/>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5F1D62CD" w14:textId="77777777" w:rsidR="00EA1838" w:rsidRPr="00D17D8E" w:rsidRDefault="00EA1838" w:rsidP="00C57059">
            <w:pPr>
              <w:jc w:val="center"/>
              <w:rPr>
                <w:rFonts w:ascii="Century Gothic" w:hAnsi="Century Gothic"/>
                <w:sz w:val="16"/>
                <w:szCs w:val="16"/>
              </w:rPr>
            </w:pPr>
          </w:p>
        </w:tc>
        <w:tc>
          <w:tcPr>
            <w:tcW w:w="851" w:type="dxa"/>
            <w:tcBorders>
              <w:top w:val="single" w:sz="4" w:space="0" w:color="000000"/>
              <w:left w:val="single" w:sz="4" w:space="0" w:color="000000"/>
              <w:right w:val="single" w:sz="4" w:space="0" w:color="000000"/>
            </w:tcBorders>
          </w:tcPr>
          <w:p w14:paraId="05642EF0" w14:textId="77777777" w:rsidR="00EA1838" w:rsidRPr="00D17D8E" w:rsidRDefault="00EA1838" w:rsidP="00C57059">
            <w:pPr>
              <w:jc w:val="center"/>
              <w:rPr>
                <w:rFonts w:ascii="Century Gothic" w:hAnsi="Century Gothic"/>
                <w:sz w:val="16"/>
                <w:szCs w:val="16"/>
              </w:rPr>
            </w:pPr>
          </w:p>
        </w:tc>
        <w:tc>
          <w:tcPr>
            <w:tcW w:w="615" w:type="dxa"/>
            <w:tcBorders>
              <w:top w:val="single" w:sz="4" w:space="0" w:color="000000"/>
              <w:left w:val="single" w:sz="4" w:space="0" w:color="000000"/>
              <w:right w:val="single" w:sz="4" w:space="0" w:color="000000"/>
            </w:tcBorders>
            <w:hideMark/>
          </w:tcPr>
          <w:p w14:paraId="6F696635" w14:textId="77777777" w:rsidR="00EA1838" w:rsidRPr="00D17D8E" w:rsidRDefault="00EA1838" w:rsidP="00C57059">
            <w:pPr>
              <w:jc w:val="center"/>
              <w:rPr>
                <w:rFonts w:ascii="Century Gothic" w:hAnsi="Century Gothic"/>
                <w:i/>
                <w:sz w:val="16"/>
                <w:szCs w:val="16"/>
              </w:rPr>
            </w:pPr>
            <w:r w:rsidRPr="00D17D8E">
              <w:rPr>
                <w:rFonts w:ascii="Century Gothic" w:hAnsi="Century Gothic"/>
                <w:i/>
                <w:sz w:val="16"/>
                <w:szCs w:val="16"/>
              </w:rPr>
              <w:t>euro</w:t>
            </w:r>
          </w:p>
        </w:tc>
      </w:tr>
      <w:tr w:rsidR="00EA1838" w:rsidRPr="00D17D8E" w14:paraId="1BBBF00C" w14:textId="77777777" w:rsidTr="00C57059">
        <w:trPr>
          <w:gridAfter w:val="1"/>
          <w:wAfter w:w="6" w:type="dxa"/>
          <w:trHeight w:val="120"/>
        </w:trPr>
        <w:tc>
          <w:tcPr>
            <w:tcW w:w="562" w:type="dxa"/>
            <w:vMerge/>
            <w:tcBorders>
              <w:left w:val="single" w:sz="4" w:space="0" w:color="000000"/>
              <w:right w:val="single" w:sz="4" w:space="0" w:color="000000"/>
            </w:tcBorders>
            <w:vAlign w:val="center"/>
          </w:tcPr>
          <w:p w14:paraId="6D1F9042" w14:textId="77777777" w:rsidR="00EA1838" w:rsidRPr="00D17D8E" w:rsidRDefault="00EA1838" w:rsidP="00C57059">
            <w:pPr>
              <w:jc w:val="center"/>
              <w:rPr>
                <w:rFonts w:ascii="Century Gothic" w:hAnsi="Century Gothic"/>
                <w:sz w:val="16"/>
                <w:szCs w:val="16"/>
              </w:rPr>
            </w:pPr>
          </w:p>
        </w:tc>
        <w:tc>
          <w:tcPr>
            <w:tcW w:w="4111" w:type="dxa"/>
            <w:vMerge/>
            <w:tcBorders>
              <w:left w:val="single" w:sz="4" w:space="0" w:color="000000"/>
              <w:right w:val="single" w:sz="4" w:space="0" w:color="000000"/>
            </w:tcBorders>
            <w:vAlign w:val="center"/>
          </w:tcPr>
          <w:p w14:paraId="6EEE1DEC" w14:textId="77777777" w:rsidR="00EA1838" w:rsidRPr="00D17D8E" w:rsidRDefault="00EA1838" w:rsidP="00C57059">
            <w:pPr>
              <w:rPr>
                <w:rFonts w:ascii="Century Gothic" w:hAnsi="Century Gothic"/>
                <w:sz w:val="16"/>
                <w:szCs w:val="16"/>
              </w:rPr>
            </w:pPr>
          </w:p>
        </w:tc>
        <w:tc>
          <w:tcPr>
            <w:tcW w:w="709" w:type="dxa"/>
            <w:tcBorders>
              <w:top w:val="single" w:sz="4" w:space="0" w:color="000000"/>
              <w:left w:val="single" w:sz="4" w:space="0" w:color="000000"/>
              <w:bottom w:val="single" w:sz="4" w:space="0" w:color="000000"/>
              <w:right w:val="single" w:sz="4" w:space="0" w:color="000000"/>
            </w:tcBorders>
          </w:tcPr>
          <w:p w14:paraId="3FFEE0F1" w14:textId="77777777" w:rsidR="00EA1838" w:rsidRPr="00D17D8E" w:rsidRDefault="00EA1838" w:rsidP="00C57059">
            <w:pPr>
              <w:jc w:val="center"/>
              <w:rPr>
                <w:rFonts w:ascii="Century Gothic" w:hAnsi="Century Gothic"/>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30086148" w14:textId="77777777" w:rsidR="00EA1838" w:rsidRPr="00D17D8E" w:rsidRDefault="00EA1838" w:rsidP="00C57059">
            <w:pPr>
              <w:jc w:val="center"/>
              <w:rPr>
                <w:rFonts w:ascii="Century Gothic" w:hAnsi="Century Gothic"/>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4C88D7EE" w14:textId="77777777" w:rsidR="00EA1838" w:rsidRPr="00D17D8E" w:rsidRDefault="00EA1838" w:rsidP="00C57059">
            <w:pPr>
              <w:jc w:val="center"/>
              <w:rPr>
                <w:rFonts w:ascii="Century Gothic" w:hAnsi="Century Gothic"/>
                <w:sz w:val="16"/>
                <w:szCs w:val="16"/>
              </w:rPr>
            </w:pPr>
          </w:p>
        </w:tc>
        <w:tc>
          <w:tcPr>
            <w:tcW w:w="851" w:type="dxa"/>
            <w:tcBorders>
              <w:top w:val="single" w:sz="4" w:space="0" w:color="000000"/>
              <w:left w:val="single" w:sz="4" w:space="0" w:color="000000"/>
              <w:right w:val="single" w:sz="4" w:space="0" w:color="000000"/>
            </w:tcBorders>
          </w:tcPr>
          <w:p w14:paraId="38D097F5" w14:textId="77777777" w:rsidR="00EA1838" w:rsidRPr="00D17D8E" w:rsidRDefault="00EA1838" w:rsidP="00C57059">
            <w:pPr>
              <w:jc w:val="center"/>
              <w:rPr>
                <w:rFonts w:ascii="Century Gothic" w:hAnsi="Century Gothic"/>
                <w:sz w:val="16"/>
                <w:szCs w:val="16"/>
              </w:rPr>
            </w:pPr>
          </w:p>
        </w:tc>
        <w:tc>
          <w:tcPr>
            <w:tcW w:w="615" w:type="dxa"/>
            <w:tcBorders>
              <w:top w:val="single" w:sz="4" w:space="0" w:color="000000"/>
              <w:left w:val="single" w:sz="4" w:space="0" w:color="000000"/>
              <w:right w:val="single" w:sz="4" w:space="0" w:color="000000"/>
            </w:tcBorders>
          </w:tcPr>
          <w:p w14:paraId="35626B52" w14:textId="77777777" w:rsidR="00EA1838" w:rsidRPr="00D17D8E" w:rsidRDefault="00EA1838" w:rsidP="00C57059">
            <w:pPr>
              <w:jc w:val="center"/>
              <w:rPr>
                <w:rFonts w:ascii="Century Gothic" w:hAnsi="Century Gothic"/>
                <w:i/>
                <w:sz w:val="16"/>
                <w:szCs w:val="16"/>
              </w:rPr>
            </w:pPr>
            <w:r w:rsidRPr="00D17D8E">
              <w:rPr>
                <w:rFonts w:ascii="Century Gothic" w:hAnsi="Century Gothic"/>
                <w:sz w:val="16"/>
                <w:szCs w:val="16"/>
              </w:rPr>
              <w:t>euro</w:t>
            </w:r>
          </w:p>
        </w:tc>
      </w:tr>
      <w:tr w:rsidR="00EA1838" w:rsidRPr="00D17D8E" w14:paraId="507AA5D1" w14:textId="77777777" w:rsidTr="00C57059">
        <w:trPr>
          <w:gridAfter w:val="1"/>
          <w:wAfter w:w="6" w:type="dxa"/>
          <w:trHeight w:val="120"/>
        </w:trPr>
        <w:tc>
          <w:tcPr>
            <w:tcW w:w="562" w:type="dxa"/>
            <w:vMerge/>
            <w:tcBorders>
              <w:left w:val="single" w:sz="4" w:space="0" w:color="000000"/>
              <w:bottom w:val="single" w:sz="4" w:space="0" w:color="000000"/>
              <w:right w:val="single" w:sz="4" w:space="0" w:color="000000"/>
            </w:tcBorders>
            <w:vAlign w:val="center"/>
          </w:tcPr>
          <w:p w14:paraId="13F4CC3C" w14:textId="77777777" w:rsidR="00EA1838" w:rsidRPr="00D17D8E" w:rsidRDefault="00EA1838" w:rsidP="00C57059">
            <w:pPr>
              <w:jc w:val="center"/>
              <w:rPr>
                <w:rFonts w:ascii="Century Gothic" w:hAnsi="Century Gothic"/>
                <w:sz w:val="16"/>
                <w:szCs w:val="16"/>
              </w:rPr>
            </w:pPr>
          </w:p>
        </w:tc>
        <w:tc>
          <w:tcPr>
            <w:tcW w:w="4111" w:type="dxa"/>
            <w:vMerge/>
            <w:tcBorders>
              <w:left w:val="single" w:sz="4" w:space="0" w:color="000000"/>
              <w:bottom w:val="single" w:sz="4" w:space="0" w:color="000000"/>
              <w:right w:val="single" w:sz="4" w:space="0" w:color="000000"/>
            </w:tcBorders>
            <w:vAlign w:val="center"/>
          </w:tcPr>
          <w:p w14:paraId="314BE567" w14:textId="77777777" w:rsidR="00EA1838" w:rsidRPr="00D17D8E" w:rsidRDefault="00EA1838" w:rsidP="00C57059">
            <w:pPr>
              <w:rPr>
                <w:rFonts w:ascii="Century Gothic" w:hAnsi="Century Gothic"/>
                <w:sz w:val="16"/>
                <w:szCs w:val="16"/>
              </w:rPr>
            </w:pPr>
          </w:p>
        </w:tc>
        <w:tc>
          <w:tcPr>
            <w:tcW w:w="709" w:type="dxa"/>
            <w:tcBorders>
              <w:top w:val="single" w:sz="4" w:space="0" w:color="000000"/>
              <w:left w:val="single" w:sz="4" w:space="0" w:color="000000"/>
              <w:bottom w:val="single" w:sz="4" w:space="0" w:color="000000"/>
              <w:right w:val="single" w:sz="4" w:space="0" w:color="000000"/>
            </w:tcBorders>
          </w:tcPr>
          <w:p w14:paraId="47AC5E75" w14:textId="77777777" w:rsidR="00EA1838" w:rsidRPr="00D17D8E" w:rsidRDefault="00EA1838" w:rsidP="00C57059">
            <w:pPr>
              <w:jc w:val="center"/>
              <w:rPr>
                <w:rFonts w:ascii="Century Gothic" w:hAnsi="Century Gothic"/>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3AB097A1" w14:textId="77777777" w:rsidR="00EA1838" w:rsidRPr="00D17D8E" w:rsidRDefault="00EA1838" w:rsidP="00C57059">
            <w:pPr>
              <w:jc w:val="center"/>
              <w:rPr>
                <w:rFonts w:ascii="Century Gothic" w:hAnsi="Century Gothic"/>
                <w:sz w:val="16"/>
                <w:szCs w:val="16"/>
              </w:rPr>
            </w:pPr>
          </w:p>
        </w:tc>
        <w:tc>
          <w:tcPr>
            <w:tcW w:w="1417" w:type="dxa"/>
            <w:tcBorders>
              <w:top w:val="single" w:sz="4" w:space="0" w:color="000000"/>
              <w:left w:val="single" w:sz="4" w:space="0" w:color="000000"/>
              <w:bottom w:val="single" w:sz="4" w:space="0" w:color="000000"/>
              <w:right w:val="single" w:sz="4" w:space="0" w:color="000000"/>
            </w:tcBorders>
          </w:tcPr>
          <w:p w14:paraId="23B5CF43" w14:textId="77777777" w:rsidR="00EA1838" w:rsidRPr="00D17D8E" w:rsidRDefault="00EA1838" w:rsidP="00C57059">
            <w:pPr>
              <w:jc w:val="center"/>
              <w:rPr>
                <w:rFonts w:ascii="Century Gothic" w:hAnsi="Century Gothic"/>
                <w:sz w:val="16"/>
                <w:szCs w:val="16"/>
              </w:rPr>
            </w:pPr>
          </w:p>
        </w:tc>
        <w:tc>
          <w:tcPr>
            <w:tcW w:w="851" w:type="dxa"/>
            <w:tcBorders>
              <w:left w:val="single" w:sz="4" w:space="0" w:color="000000"/>
              <w:bottom w:val="single" w:sz="4" w:space="0" w:color="000000"/>
              <w:right w:val="single" w:sz="4" w:space="0" w:color="000000"/>
            </w:tcBorders>
          </w:tcPr>
          <w:p w14:paraId="10DCF3AB" w14:textId="77777777" w:rsidR="00EA1838" w:rsidRPr="00D17D8E" w:rsidRDefault="00EA1838" w:rsidP="00C57059">
            <w:pPr>
              <w:jc w:val="center"/>
              <w:rPr>
                <w:rFonts w:ascii="Century Gothic" w:hAnsi="Century Gothic"/>
                <w:sz w:val="16"/>
                <w:szCs w:val="16"/>
              </w:rPr>
            </w:pPr>
          </w:p>
        </w:tc>
        <w:tc>
          <w:tcPr>
            <w:tcW w:w="615" w:type="dxa"/>
            <w:tcBorders>
              <w:left w:val="single" w:sz="4" w:space="0" w:color="000000"/>
              <w:bottom w:val="single" w:sz="4" w:space="0" w:color="000000"/>
              <w:right w:val="single" w:sz="4" w:space="0" w:color="000000"/>
            </w:tcBorders>
          </w:tcPr>
          <w:p w14:paraId="077C8EB0" w14:textId="77777777" w:rsidR="00EA1838" w:rsidRPr="00D17D8E" w:rsidRDefault="00EA1838" w:rsidP="00C57059">
            <w:pPr>
              <w:jc w:val="center"/>
              <w:rPr>
                <w:rFonts w:ascii="Century Gothic" w:hAnsi="Century Gothic"/>
                <w:i/>
                <w:sz w:val="16"/>
                <w:szCs w:val="16"/>
              </w:rPr>
            </w:pPr>
            <w:r w:rsidRPr="00D17D8E">
              <w:rPr>
                <w:rFonts w:ascii="Century Gothic" w:hAnsi="Century Gothic"/>
                <w:i/>
                <w:sz w:val="16"/>
                <w:szCs w:val="16"/>
              </w:rPr>
              <w:t>euro</w:t>
            </w:r>
          </w:p>
        </w:tc>
      </w:tr>
      <w:tr w:rsidR="00EA1838" w:rsidRPr="00D17D8E" w14:paraId="703418A0" w14:textId="77777777" w:rsidTr="00C57059">
        <w:trPr>
          <w:gridAfter w:val="1"/>
          <w:wAfter w:w="6" w:type="dxa"/>
          <w:trHeight w:val="327"/>
        </w:trPr>
        <w:tc>
          <w:tcPr>
            <w:tcW w:w="562" w:type="dxa"/>
            <w:tcBorders>
              <w:top w:val="single" w:sz="4" w:space="0" w:color="000000"/>
              <w:left w:val="single" w:sz="4" w:space="0" w:color="000000"/>
              <w:bottom w:val="single" w:sz="4" w:space="0" w:color="000000"/>
              <w:right w:val="single" w:sz="4" w:space="0" w:color="000000"/>
            </w:tcBorders>
          </w:tcPr>
          <w:p w14:paraId="0C381F64" w14:textId="77777777" w:rsidR="00EA1838" w:rsidRPr="00D17D8E" w:rsidRDefault="00EA1838" w:rsidP="00C57059">
            <w:pPr>
              <w:numPr>
                <w:ilvl w:val="0"/>
                <w:numId w:val="25"/>
              </w:numPr>
              <w:ind w:left="0" w:firstLine="0"/>
              <w:jc w:val="center"/>
              <w:rPr>
                <w:rFonts w:ascii="Century Gothic" w:hAnsi="Century Gothic"/>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6018F859" w14:textId="77777777" w:rsidR="00EA1838" w:rsidRPr="00D17D8E" w:rsidRDefault="00EA1838" w:rsidP="00C57059">
            <w:pPr>
              <w:rPr>
                <w:rFonts w:ascii="Century Gothic" w:hAnsi="Century Gothic"/>
                <w:sz w:val="16"/>
                <w:szCs w:val="16"/>
              </w:rPr>
            </w:pPr>
            <w:r w:rsidRPr="00D17D8E">
              <w:rPr>
                <w:rFonts w:ascii="Century Gothic" w:hAnsi="Century Gothic"/>
                <w:sz w:val="16"/>
                <w:szCs w:val="16"/>
              </w:rPr>
              <w:t xml:space="preserve">Vai pretendents piedāvās citus atvieglojumus aizņēmējam, piem. bez komisijas maksas </w:t>
            </w:r>
            <w:proofErr w:type="spellStart"/>
            <w:r w:rsidRPr="00D17D8E">
              <w:rPr>
                <w:rFonts w:ascii="Century Gothic" w:hAnsi="Century Gothic"/>
                <w:sz w:val="16"/>
                <w:szCs w:val="16"/>
              </w:rPr>
              <w:t>utml</w:t>
            </w:r>
            <w:proofErr w:type="spellEnd"/>
            <w:r w:rsidRPr="00D17D8E">
              <w:rPr>
                <w:rFonts w:ascii="Century Gothic" w:hAnsi="Century Gothic"/>
                <w:sz w:val="16"/>
                <w:szCs w:val="16"/>
              </w:rPr>
              <w:t xml:space="preserve">. </w:t>
            </w:r>
            <w:r w:rsidRPr="00D17D8E">
              <w:rPr>
                <w:rFonts w:ascii="Century Gothic" w:hAnsi="Century Gothic"/>
                <w:i/>
                <w:sz w:val="16"/>
                <w:szCs w:val="16"/>
              </w:rPr>
              <w:t>Norādīt kādus</w:t>
            </w:r>
          </w:p>
        </w:tc>
        <w:tc>
          <w:tcPr>
            <w:tcW w:w="4726" w:type="dxa"/>
            <w:gridSpan w:val="5"/>
            <w:tcBorders>
              <w:top w:val="single" w:sz="4" w:space="0" w:color="000000"/>
              <w:left w:val="single" w:sz="4" w:space="0" w:color="000000"/>
              <w:bottom w:val="single" w:sz="4" w:space="0" w:color="000000"/>
              <w:right w:val="single" w:sz="4" w:space="0" w:color="000000"/>
            </w:tcBorders>
          </w:tcPr>
          <w:p w14:paraId="38FC50F0" w14:textId="77777777" w:rsidR="00EA1838" w:rsidRPr="00D17D8E" w:rsidRDefault="00EA1838" w:rsidP="00C57059">
            <w:pPr>
              <w:numPr>
                <w:ilvl w:val="0"/>
                <w:numId w:val="26"/>
              </w:numPr>
              <w:jc w:val="center"/>
              <w:rPr>
                <w:rFonts w:ascii="Century Gothic" w:hAnsi="Century Gothic"/>
                <w:i/>
                <w:sz w:val="16"/>
                <w:szCs w:val="16"/>
              </w:rPr>
            </w:pPr>
            <w:r w:rsidRPr="00D17D8E">
              <w:rPr>
                <w:rFonts w:ascii="Century Gothic" w:hAnsi="Century Gothic"/>
                <w:i/>
                <w:sz w:val="16"/>
                <w:szCs w:val="16"/>
              </w:rPr>
              <w:t>Kredītu izsniegšana bez komisijas maksas</w:t>
            </w:r>
          </w:p>
          <w:p w14:paraId="42B9E286" w14:textId="77777777" w:rsidR="00EA1838" w:rsidRPr="00D17D8E" w:rsidRDefault="00EA1838" w:rsidP="00C57059">
            <w:pPr>
              <w:numPr>
                <w:ilvl w:val="0"/>
                <w:numId w:val="26"/>
              </w:numPr>
              <w:jc w:val="center"/>
              <w:rPr>
                <w:rFonts w:ascii="Century Gothic" w:hAnsi="Century Gothic"/>
                <w:i/>
                <w:sz w:val="16"/>
                <w:szCs w:val="16"/>
              </w:rPr>
            </w:pPr>
            <w:r w:rsidRPr="00D17D8E">
              <w:rPr>
                <w:rFonts w:ascii="Century Gothic" w:hAnsi="Century Gothic"/>
                <w:i/>
                <w:sz w:val="16"/>
                <w:szCs w:val="16"/>
              </w:rPr>
              <w:t>Attālināta pieteikšanās iespēja un līguma parakstīšana bez papildus komisijas maksas</w:t>
            </w:r>
          </w:p>
        </w:tc>
      </w:tr>
      <w:tr w:rsidR="00EA1838" w:rsidRPr="00D17D8E" w14:paraId="349289AA" w14:textId="77777777" w:rsidTr="00C57059">
        <w:trPr>
          <w:gridAfter w:val="1"/>
          <w:wAfter w:w="6" w:type="dxa"/>
          <w:trHeight w:val="120"/>
        </w:trPr>
        <w:tc>
          <w:tcPr>
            <w:tcW w:w="562" w:type="dxa"/>
            <w:tcBorders>
              <w:left w:val="single" w:sz="4" w:space="0" w:color="000000"/>
              <w:right w:val="single" w:sz="4" w:space="0" w:color="000000"/>
            </w:tcBorders>
            <w:vAlign w:val="center"/>
          </w:tcPr>
          <w:p w14:paraId="19A1AC30" w14:textId="77777777" w:rsidR="00EA1838" w:rsidRPr="00D17D8E" w:rsidRDefault="00EA1838" w:rsidP="00C57059">
            <w:pPr>
              <w:numPr>
                <w:ilvl w:val="0"/>
                <w:numId w:val="25"/>
              </w:numPr>
              <w:ind w:left="0" w:firstLine="0"/>
              <w:jc w:val="center"/>
              <w:rPr>
                <w:rFonts w:ascii="Century Gothic" w:hAnsi="Century Gothic"/>
                <w:sz w:val="16"/>
                <w:szCs w:val="16"/>
              </w:rPr>
            </w:pPr>
          </w:p>
        </w:tc>
        <w:tc>
          <w:tcPr>
            <w:tcW w:w="8837" w:type="dxa"/>
            <w:gridSpan w:val="6"/>
            <w:tcBorders>
              <w:left w:val="single" w:sz="4" w:space="0" w:color="000000"/>
              <w:right w:val="single" w:sz="4" w:space="0" w:color="000000"/>
            </w:tcBorders>
            <w:vAlign w:val="center"/>
          </w:tcPr>
          <w:p w14:paraId="6A575CDD" w14:textId="77777777" w:rsidR="00EA1838" w:rsidRPr="00D17D8E" w:rsidDel="00211D37" w:rsidRDefault="00EA1838" w:rsidP="00C57059">
            <w:pPr>
              <w:rPr>
                <w:rFonts w:ascii="Century Gothic" w:hAnsi="Century Gothic"/>
                <w:i/>
                <w:iCs/>
                <w:sz w:val="16"/>
                <w:szCs w:val="16"/>
              </w:rPr>
            </w:pPr>
            <w:r w:rsidRPr="00D17D8E">
              <w:rPr>
                <w:rFonts w:ascii="Century Gothic" w:hAnsi="Century Gothic"/>
                <w:sz w:val="16"/>
                <w:szCs w:val="16"/>
              </w:rPr>
              <w:t>Maksimālā izsniedzamā Finanšu pakalpojumu summa (</w:t>
            </w:r>
            <w:r w:rsidRPr="00D17D8E">
              <w:rPr>
                <w:rFonts w:ascii="Century Gothic" w:hAnsi="Century Gothic"/>
                <w:i/>
                <w:iCs/>
                <w:sz w:val="16"/>
                <w:szCs w:val="16"/>
              </w:rPr>
              <w:t>atbilstoši līguma 1.8.punktā un 1.pielikuma 1.punktā norādītajam pieejamam un plānotajam valsts budžeta finansējuma apjomam)</w:t>
            </w:r>
          </w:p>
        </w:tc>
      </w:tr>
      <w:tr w:rsidR="00EA1838" w:rsidRPr="00D17D8E" w14:paraId="35FB25F6" w14:textId="77777777" w:rsidTr="00C57059">
        <w:trPr>
          <w:gridAfter w:val="1"/>
          <w:wAfter w:w="6" w:type="dxa"/>
          <w:trHeight w:val="120"/>
        </w:trPr>
        <w:tc>
          <w:tcPr>
            <w:tcW w:w="562" w:type="dxa"/>
            <w:tcBorders>
              <w:left w:val="single" w:sz="4" w:space="0" w:color="000000"/>
              <w:right w:val="single" w:sz="4" w:space="0" w:color="000000"/>
            </w:tcBorders>
            <w:vAlign w:val="center"/>
          </w:tcPr>
          <w:p w14:paraId="74B81080" w14:textId="77777777" w:rsidR="00EA1838" w:rsidRPr="00D17D8E" w:rsidRDefault="00EA1838" w:rsidP="00C57059">
            <w:pPr>
              <w:numPr>
                <w:ilvl w:val="0"/>
                <w:numId w:val="25"/>
              </w:numPr>
              <w:ind w:left="0" w:firstLine="0"/>
              <w:jc w:val="center"/>
              <w:rPr>
                <w:rFonts w:ascii="Century Gothic" w:hAnsi="Century Gothic"/>
                <w:sz w:val="16"/>
                <w:szCs w:val="16"/>
              </w:rPr>
            </w:pPr>
          </w:p>
        </w:tc>
        <w:tc>
          <w:tcPr>
            <w:tcW w:w="8837" w:type="dxa"/>
            <w:gridSpan w:val="6"/>
            <w:tcBorders>
              <w:left w:val="single" w:sz="4" w:space="0" w:color="000000"/>
              <w:right w:val="single" w:sz="4" w:space="0" w:color="000000"/>
            </w:tcBorders>
            <w:vAlign w:val="center"/>
          </w:tcPr>
          <w:p w14:paraId="545E0538" w14:textId="77777777" w:rsidR="00EA1838" w:rsidRPr="00D17D8E" w:rsidDel="00211D37" w:rsidRDefault="00EA1838" w:rsidP="00C57059">
            <w:pPr>
              <w:rPr>
                <w:rFonts w:ascii="Century Gothic" w:hAnsi="Century Gothic"/>
                <w:i/>
                <w:iCs/>
                <w:sz w:val="16"/>
                <w:szCs w:val="16"/>
              </w:rPr>
            </w:pPr>
            <w:r w:rsidRPr="00D17D8E">
              <w:rPr>
                <w:rFonts w:ascii="Century Gothic" w:hAnsi="Century Gothic"/>
                <w:i/>
                <w:iCs/>
                <w:sz w:val="16"/>
                <w:szCs w:val="16"/>
              </w:rPr>
              <w:t xml:space="preserve">Atbilstoši 7.punktā piešķirtajiem kredītiem indikatīvi izsniedzamā Finanšu pakalpojumu summa pēc 2024.gada (nav paredzēts finansējums atbilstoši Līguma 1.8.punktā norādītajam un izsniegšana iespējama, ja paredzēts finansējums 2026.-2028.gada valsts budžetā  vai no </w:t>
            </w:r>
            <w:proofErr w:type="spellStart"/>
            <w:r w:rsidRPr="00D17D8E">
              <w:rPr>
                <w:rFonts w:ascii="Century Gothic" w:hAnsi="Century Gothic"/>
                <w:i/>
                <w:iCs/>
                <w:sz w:val="16"/>
                <w:szCs w:val="16"/>
              </w:rPr>
              <w:t>citem</w:t>
            </w:r>
            <w:proofErr w:type="spellEnd"/>
            <w:r w:rsidRPr="00D17D8E">
              <w:rPr>
                <w:rFonts w:ascii="Century Gothic" w:hAnsi="Century Gothic"/>
                <w:i/>
                <w:iCs/>
                <w:sz w:val="16"/>
                <w:szCs w:val="16"/>
              </w:rPr>
              <w:t xml:space="preserve"> Altum pieejamiem līdzekļiem)</w:t>
            </w:r>
          </w:p>
        </w:tc>
      </w:tr>
    </w:tbl>
    <w:p w14:paraId="7EEC286D" w14:textId="77777777" w:rsidR="00EA1838" w:rsidRPr="00D17D8E" w:rsidRDefault="00EA1838" w:rsidP="00EA1838">
      <w:pPr>
        <w:jc w:val="center"/>
        <w:rPr>
          <w:rFonts w:ascii="Century Gothic" w:hAnsi="Century Gothic"/>
          <w:sz w:val="16"/>
          <w:szCs w:val="16"/>
        </w:rPr>
      </w:pPr>
    </w:p>
    <w:p w14:paraId="44D7EA8A" w14:textId="77777777" w:rsidR="00EA1838" w:rsidRDefault="00EA1838" w:rsidP="00EA1838">
      <w:pPr>
        <w:rPr>
          <w:rFonts w:ascii="Century Gothic" w:hAnsi="Century Gothic"/>
        </w:rPr>
      </w:pPr>
    </w:p>
    <w:p w14:paraId="2A4D7D3C" w14:textId="77777777" w:rsidR="00EA1838" w:rsidRPr="0081449B" w:rsidRDefault="00EA1838" w:rsidP="00EA1838">
      <w:pPr>
        <w:rPr>
          <w:rFonts w:ascii="Century Gothic" w:hAnsi="Century Gothic"/>
        </w:rPr>
      </w:pPr>
      <w:r w:rsidRPr="0081449B">
        <w:rPr>
          <w:rFonts w:ascii="Century Gothic" w:hAnsi="Century Gothic"/>
        </w:rPr>
        <w:t>ALTUM:</w:t>
      </w:r>
      <w:r w:rsidRPr="0081449B">
        <w:rPr>
          <w:rFonts w:ascii="Century Gothic" w:hAnsi="Century Gothic"/>
        </w:rPr>
        <w:tab/>
      </w:r>
      <w:r w:rsidRPr="0081449B">
        <w:rPr>
          <w:rFonts w:ascii="Century Gothic" w:hAnsi="Century Gothic"/>
        </w:rPr>
        <w:tab/>
      </w:r>
      <w:r w:rsidRPr="0081449B">
        <w:rPr>
          <w:rFonts w:ascii="Century Gothic" w:hAnsi="Century Gothic"/>
        </w:rPr>
        <w:tab/>
      </w:r>
      <w:r w:rsidRPr="0081449B">
        <w:rPr>
          <w:rFonts w:ascii="Century Gothic" w:hAnsi="Century Gothic"/>
        </w:rPr>
        <w:tab/>
      </w:r>
      <w:r w:rsidRPr="0081449B">
        <w:rPr>
          <w:rFonts w:ascii="Century Gothic" w:hAnsi="Century Gothic"/>
        </w:rPr>
        <w:tab/>
      </w:r>
      <w:r w:rsidRPr="0081449B">
        <w:rPr>
          <w:rFonts w:ascii="Century Gothic" w:hAnsi="Century Gothic"/>
        </w:rPr>
        <w:tab/>
      </w:r>
      <w:r w:rsidRPr="0081449B">
        <w:rPr>
          <w:rFonts w:ascii="Century Gothic" w:hAnsi="Century Gothic"/>
        </w:rPr>
        <w:tab/>
        <w:t>Finansētājs:</w:t>
      </w:r>
    </w:p>
    <w:p w14:paraId="79CA3D1C" w14:textId="77777777" w:rsidR="00EA1838" w:rsidRPr="0081449B" w:rsidRDefault="00EA1838" w:rsidP="00EA1838">
      <w:pPr>
        <w:rPr>
          <w:rFonts w:ascii="Century Gothic" w:hAnsi="Century Gothic"/>
        </w:rPr>
      </w:pPr>
      <w:r w:rsidRPr="0081449B">
        <w:rPr>
          <w:rFonts w:ascii="Century Gothic" w:hAnsi="Century Gothic"/>
        </w:rPr>
        <w:t>valdes loceklis</w:t>
      </w:r>
    </w:p>
    <w:p w14:paraId="5E9764F7" w14:textId="77777777" w:rsidR="00EA1838" w:rsidRPr="0081449B" w:rsidRDefault="00EA1838" w:rsidP="00EA1838">
      <w:pPr>
        <w:rPr>
          <w:rFonts w:ascii="Century Gothic" w:hAnsi="Century Gothic"/>
        </w:rPr>
      </w:pPr>
    </w:p>
    <w:p w14:paraId="71093311" w14:textId="77777777" w:rsidR="00EA1838" w:rsidRPr="0081449B" w:rsidRDefault="00EA1838" w:rsidP="00EA1838">
      <w:pPr>
        <w:rPr>
          <w:rFonts w:ascii="Century Gothic" w:hAnsi="Century Gothic"/>
        </w:rPr>
      </w:pPr>
    </w:p>
    <w:p w14:paraId="08F8FD21" w14:textId="77777777" w:rsidR="00EA1838" w:rsidRPr="0081449B" w:rsidRDefault="00EA1838" w:rsidP="00EA1838">
      <w:pPr>
        <w:rPr>
          <w:rFonts w:ascii="Century Gothic" w:hAnsi="Century Gothic"/>
        </w:rPr>
      </w:pPr>
    </w:p>
    <w:p w14:paraId="53138878" w14:textId="77777777" w:rsidR="00EA1838" w:rsidRPr="0081449B" w:rsidRDefault="00EA1838" w:rsidP="00EA1838">
      <w:pPr>
        <w:rPr>
          <w:rFonts w:ascii="Century Gothic" w:hAnsi="Century Gothic"/>
        </w:rPr>
      </w:pPr>
    </w:p>
    <w:p w14:paraId="2F674740" w14:textId="77777777" w:rsidR="00EA1838" w:rsidRPr="0081449B" w:rsidRDefault="00EA1838" w:rsidP="00EA1838">
      <w:pPr>
        <w:rPr>
          <w:rFonts w:ascii="Century Gothic" w:hAnsi="Century Gothic"/>
        </w:rPr>
      </w:pPr>
    </w:p>
    <w:p w14:paraId="28252C0E" w14:textId="77777777" w:rsidR="00EA1838" w:rsidRPr="0081449B" w:rsidRDefault="00EA1838" w:rsidP="00EA1838">
      <w:pPr>
        <w:jc w:val="center"/>
        <w:rPr>
          <w:rFonts w:ascii="Century Gothic" w:hAnsi="Century Gothic"/>
        </w:rPr>
      </w:pPr>
      <w:r w:rsidRPr="0081449B">
        <w:rPr>
          <w:rFonts w:ascii="Century Gothic" w:hAnsi="Century Gothic"/>
        </w:rPr>
        <w:t>ŠIS DOKUMENTS IR ELEKTRONISKI PARAKSTĪTS AR DROŠU ELEKTRONISKO PARAKSTU UN SATUR LAIKA ZĪMOGU</w:t>
      </w:r>
    </w:p>
    <w:p w14:paraId="1E9389B7" w14:textId="29758036" w:rsidR="00EA1838" w:rsidRDefault="00EA1838">
      <w:pPr>
        <w:overflowPunct/>
        <w:autoSpaceDE/>
        <w:autoSpaceDN/>
        <w:adjustRightInd/>
        <w:spacing w:after="160" w:line="259" w:lineRule="auto"/>
        <w:textAlignment w:val="auto"/>
        <w:rPr>
          <w:rFonts w:ascii="Century Gothic" w:hAnsi="Century Gothic"/>
          <w:color w:val="003B85"/>
          <w:sz w:val="16"/>
        </w:rPr>
      </w:pPr>
      <w:r>
        <w:rPr>
          <w:rFonts w:ascii="Century Gothic" w:hAnsi="Century Gothic"/>
          <w:color w:val="003B85"/>
          <w:sz w:val="16"/>
        </w:rPr>
        <w:br w:type="page"/>
      </w:r>
    </w:p>
    <w:p w14:paraId="1BC4518A" w14:textId="77777777" w:rsidR="00427BFD" w:rsidRDefault="00427BFD" w:rsidP="002D0C92">
      <w:pPr>
        <w:overflowPunct/>
        <w:autoSpaceDE/>
        <w:autoSpaceDN/>
        <w:adjustRightInd/>
        <w:spacing w:after="160" w:line="259" w:lineRule="auto"/>
        <w:textAlignment w:val="auto"/>
        <w:rPr>
          <w:rFonts w:ascii="Century Gothic" w:hAnsi="Century Gothic"/>
          <w:color w:val="003B85"/>
          <w:sz w:val="16"/>
        </w:rPr>
      </w:pPr>
    </w:p>
    <w:p w14:paraId="3EE5D17A" w14:textId="77777777" w:rsidR="00EA1838" w:rsidRDefault="00EA1838" w:rsidP="002D0C92">
      <w:pPr>
        <w:overflowPunct/>
        <w:autoSpaceDE/>
        <w:autoSpaceDN/>
        <w:adjustRightInd/>
        <w:spacing w:after="160" w:line="259" w:lineRule="auto"/>
        <w:textAlignment w:val="auto"/>
        <w:rPr>
          <w:rFonts w:ascii="Century Gothic" w:hAnsi="Century Gothic"/>
          <w:color w:val="003B85"/>
          <w:sz w:val="16"/>
        </w:rPr>
      </w:pPr>
    </w:p>
    <w:p w14:paraId="5C857F42" w14:textId="77777777" w:rsidR="00EA1838" w:rsidRDefault="00EA1838" w:rsidP="00EA1838">
      <w:pPr>
        <w:jc w:val="right"/>
        <w:rPr>
          <w:rFonts w:ascii="Times New Roman" w:hAnsi="Times New Roman"/>
          <w:sz w:val="22"/>
          <w:szCs w:val="22"/>
        </w:rPr>
      </w:pPr>
      <w:r w:rsidRPr="00901D53">
        <w:rPr>
          <w:rFonts w:ascii="Times New Roman" w:hAnsi="Times New Roman"/>
          <w:sz w:val="22"/>
          <w:szCs w:val="22"/>
        </w:rPr>
        <w:t>Pielikums Nr.</w:t>
      </w:r>
      <w:r>
        <w:rPr>
          <w:rFonts w:ascii="Times New Roman" w:hAnsi="Times New Roman"/>
          <w:sz w:val="22"/>
          <w:szCs w:val="22"/>
        </w:rPr>
        <w:t>2</w:t>
      </w:r>
    </w:p>
    <w:p w14:paraId="086FFCEB" w14:textId="77777777" w:rsidR="00EA1838" w:rsidRDefault="00EA1838" w:rsidP="00EA1838">
      <w:pPr>
        <w:jc w:val="right"/>
        <w:rPr>
          <w:rFonts w:ascii="Century Gothic" w:hAnsi="Century Gothic"/>
          <w:b/>
          <w:caps/>
          <w:color w:val="003B85"/>
          <w:sz w:val="28"/>
        </w:rPr>
      </w:pPr>
    </w:p>
    <w:p w14:paraId="4B46731A" w14:textId="77777777" w:rsidR="00EA1838" w:rsidRPr="001F01F6" w:rsidRDefault="00EA1838" w:rsidP="00EA1838">
      <w:pPr>
        <w:jc w:val="right"/>
        <w:rPr>
          <w:rFonts w:ascii="Century Gothic" w:hAnsi="Century Gothic"/>
          <w:b/>
          <w:caps/>
          <w:color w:val="003B85"/>
          <w:sz w:val="28"/>
        </w:rPr>
      </w:pPr>
      <w:r>
        <w:rPr>
          <w:rFonts w:ascii="Century Gothic" w:hAnsi="Century Gothic"/>
          <w:b/>
          <w:caps/>
          <w:color w:val="003B85"/>
          <w:sz w:val="28"/>
        </w:rPr>
        <w:t>pieteikums</w:t>
      </w:r>
      <w:r w:rsidRPr="001F01F6">
        <w:rPr>
          <w:rFonts w:ascii="Century Gothic" w:hAnsi="Century Gothic"/>
          <w:b/>
          <w:caps/>
          <w:color w:val="003B85"/>
          <w:sz w:val="28"/>
        </w:rPr>
        <w:t xml:space="preserve"> kompensācijas izmaksa</w:t>
      </w:r>
      <w:r>
        <w:rPr>
          <w:rFonts w:ascii="Century Gothic" w:hAnsi="Century Gothic"/>
          <w:b/>
          <w:caps/>
          <w:color w:val="003B85"/>
          <w:sz w:val="28"/>
        </w:rPr>
        <w:t xml:space="preserve">i </w:t>
      </w:r>
    </w:p>
    <w:p w14:paraId="68BA7AF8" w14:textId="77777777" w:rsidR="00EA1838" w:rsidRPr="001F01F6" w:rsidRDefault="00EA1838" w:rsidP="00EA1838">
      <w:pPr>
        <w:jc w:val="right"/>
        <w:rPr>
          <w:rFonts w:ascii="Century Gothic" w:hAnsi="Century Gothic"/>
          <w:caps/>
          <w:color w:val="003B85"/>
          <w:sz w:val="18"/>
        </w:rPr>
      </w:pPr>
      <w:r w:rsidRPr="00427BFD">
        <w:rPr>
          <w:rFonts w:ascii="Century Gothic" w:hAnsi="Century Gothic"/>
          <w:caps/>
          <w:color w:val="003B85"/>
          <w:sz w:val="18"/>
        </w:rPr>
        <w:t>Programma “Studentu kred</w:t>
      </w:r>
      <w:r w:rsidRPr="00427BFD">
        <w:rPr>
          <w:rFonts w:ascii="Century Gothic" w:hAnsi="Century Gothic" w:hint="eastAsia"/>
          <w:caps/>
          <w:color w:val="003B85"/>
          <w:sz w:val="18"/>
        </w:rPr>
        <w:t>ī</w:t>
      </w:r>
      <w:r w:rsidRPr="00427BFD">
        <w:rPr>
          <w:rFonts w:ascii="Century Gothic" w:hAnsi="Century Gothic"/>
          <w:caps/>
          <w:color w:val="003B85"/>
          <w:sz w:val="18"/>
        </w:rPr>
        <w:t>tu garantijas”</w:t>
      </w:r>
    </w:p>
    <w:p w14:paraId="550C63B8" w14:textId="77777777" w:rsidR="00EA1838" w:rsidRPr="008B1101" w:rsidRDefault="00EA1838" w:rsidP="00EA1838">
      <w:pPr>
        <w:pBdr>
          <w:bottom w:val="single" w:sz="12" w:space="1" w:color="00ACC8"/>
        </w:pBdr>
        <w:spacing w:after="60"/>
        <w:rPr>
          <w:rFonts w:ascii="Century Gothic" w:hAnsi="Century Gothic"/>
          <w:b/>
          <w:color w:val="003B85"/>
        </w:rPr>
      </w:pPr>
      <w:r w:rsidRPr="008B1101">
        <w:rPr>
          <w:rFonts w:ascii="Century Gothic" w:hAnsi="Century Gothic"/>
          <w:b/>
          <w:color w:val="003B85"/>
        </w:rPr>
        <w:t xml:space="preserve">Aizdevējs </w:t>
      </w:r>
    </w:p>
    <w:tbl>
      <w:tblPr>
        <w:tblW w:w="8842" w:type="dxa"/>
        <w:tblInd w:w="108" w:type="dxa"/>
        <w:tblBorders>
          <w:top w:val="single" w:sz="2" w:space="0" w:color="FFFFFF"/>
          <w:left w:val="single" w:sz="2" w:space="0" w:color="FFFFFF"/>
          <w:bottom w:val="single" w:sz="2" w:space="0" w:color="FFFFFF"/>
          <w:right w:val="single" w:sz="2" w:space="0" w:color="FFFFFF"/>
          <w:insideH w:val="single" w:sz="2" w:space="0" w:color="FFFFFF"/>
          <w:insideV w:val="single" w:sz="2" w:space="0" w:color="FFFFFF"/>
        </w:tblBorders>
        <w:tblLayout w:type="fixed"/>
        <w:tblLook w:val="04A0" w:firstRow="1" w:lastRow="0" w:firstColumn="1" w:lastColumn="0" w:noHBand="0" w:noVBand="1"/>
      </w:tblPr>
      <w:tblGrid>
        <w:gridCol w:w="1749"/>
        <w:gridCol w:w="2119"/>
        <w:gridCol w:w="236"/>
        <w:gridCol w:w="1045"/>
        <w:gridCol w:w="267"/>
        <w:gridCol w:w="624"/>
        <w:gridCol w:w="236"/>
        <w:gridCol w:w="1540"/>
        <w:gridCol w:w="30"/>
        <w:gridCol w:w="502"/>
        <w:gridCol w:w="236"/>
        <w:gridCol w:w="236"/>
        <w:gridCol w:w="22"/>
      </w:tblGrid>
      <w:tr w:rsidR="00EA1838" w:rsidRPr="008B1101" w14:paraId="00146000" w14:textId="77777777" w:rsidTr="00C57059">
        <w:trPr>
          <w:gridAfter w:val="1"/>
          <w:wAfter w:w="22" w:type="dxa"/>
          <w:trHeight w:val="84"/>
        </w:trPr>
        <w:tc>
          <w:tcPr>
            <w:tcW w:w="1749" w:type="dxa"/>
            <w:tcBorders>
              <w:right w:val="single" w:sz="2" w:space="0" w:color="003B85"/>
            </w:tcBorders>
            <w:vAlign w:val="center"/>
          </w:tcPr>
          <w:p w14:paraId="575A6BB3" w14:textId="77777777" w:rsidR="00EA1838" w:rsidRPr="008B1101" w:rsidRDefault="00EA1838" w:rsidP="00C57059">
            <w:pPr>
              <w:rPr>
                <w:rFonts w:ascii="Century Gothic" w:hAnsi="Century Gothic"/>
                <w:sz w:val="16"/>
              </w:rPr>
            </w:pPr>
            <w:r w:rsidRPr="008B1101">
              <w:rPr>
                <w:rFonts w:ascii="Century Gothic" w:hAnsi="Century Gothic"/>
                <w:sz w:val="16"/>
              </w:rPr>
              <w:t>Aizdevējs</w:t>
            </w:r>
          </w:p>
        </w:tc>
        <w:tc>
          <w:tcPr>
            <w:tcW w:w="2119" w:type="dxa"/>
            <w:tcBorders>
              <w:top w:val="single" w:sz="2" w:space="0" w:color="003B85"/>
              <w:left w:val="single" w:sz="2" w:space="0" w:color="003B85"/>
              <w:bottom w:val="single" w:sz="2" w:space="0" w:color="003B85"/>
              <w:right w:val="single" w:sz="2" w:space="0" w:color="003B85"/>
            </w:tcBorders>
            <w:vAlign w:val="center"/>
          </w:tcPr>
          <w:p w14:paraId="42E29469" w14:textId="77777777" w:rsidR="00EA1838" w:rsidRPr="008B1101" w:rsidRDefault="00EA1838" w:rsidP="00C57059">
            <w:pPr>
              <w:rPr>
                <w:rFonts w:ascii="Century Gothic" w:hAnsi="Century Gothic"/>
                <w:sz w:val="16"/>
              </w:rPr>
            </w:pPr>
          </w:p>
        </w:tc>
        <w:tc>
          <w:tcPr>
            <w:tcW w:w="236" w:type="dxa"/>
            <w:tcBorders>
              <w:left w:val="single" w:sz="2" w:space="0" w:color="003B85"/>
              <w:right w:val="single" w:sz="2" w:space="0" w:color="003B85"/>
            </w:tcBorders>
            <w:vAlign w:val="center"/>
          </w:tcPr>
          <w:p w14:paraId="09644695" w14:textId="77777777" w:rsidR="00EA1838" w:rsidRPr="008B1101" w:rsidRDefault="00EA1838" w:rsidP="00C57059">
            <w:pPr>
              <w:rPr>
                <w:rFonts w:ascii="Century Gothic" w:hAnsi="Century Gothic"/>
                <w:sz w:val="2"/>
                <w:szCs w:val="2"/>
              </w:rPr>
            </w:pPr>
          </w:p>
        </w:tc>
        <w:tc>
          <w:tcPr>
            <w:tcW w:w="1936" w:type="dxa"/>
            <w:gridSpan w:val="3"/>
            <w:tcBorders>
              <w:top w:val="single" w:sz="2" w:space="0" w:color="003B85"/>
              <w:left w:val="single" w:sz="2" w:space="0" w:color="003B85"/>
              <w:bottom w:val="single" w:sz="2" w:space="0" w:color="003B85"/>
              <w:right w:val="single" w:sz="2" w:space="0" w:color="003B85"/>
            </w:tcBorders>
            <w:vAlign w:val="center"/>
          </w:tcPr>
          <w:p w14:paraId="66F46BB6" w14:textId="77777777" w:rsidR="00EA1838" w:rsidRPr="008B1101" w:rsidRDefault="00EA1838" w:rsidP="00C57059">
            <w:pPr>
              <w:rPr>
                <w:rFonts w:ascii="Century Gothic" w:hAnsi="Century Gothic"/>
                <w:sz w:val="16"/>
              </w:rPr>
            </w:pPr>
          </w:p>
        </w:tc>
        <w:tc>
          <w:tcPr>
            <w:tcW w:w="236" w:type="dxa"/>
            <w:tcBorders>
              <w:left w:val="single" w:sz="2" w:space="0" w:color="003B85"/>
              <w:right w:val="single" w:sz="4" w:space="0" w:color="FFFFFF"/>
            </w:tcBorders>
            <w:vAlign w:val="center"/>
          </w:tcPr>
          <w:p w14:paraId="49D51E0D" w14:textId="77777777" w:rsidR="00EA1838" w:rsidRPr="008B1101" w:rsidRDefault="00EA1838" w:rsidP="00C57059">
            <w:pPr>
              <w:rPr>
                <w:rFonts w:ascii="Century Gothic" w:hAnsi="Century Gothic"/>
                <w:sz w:val="16"/>
              </w:rPr>
            </w:pPr>
          </w:p>
        </w:tc>
        <w:tc>
          <w:tcPr>
            <w:tcW w:w="1540" w:type="dxa"/>
            <w:tcBorders>
              <w:top w:val="single" w:sz="4" w:space="0" w:color="FFFFFF"/>
              <w:left w:val="single" w:sz="4" w:space="0" w:color="FFFFFF"/>
              <w:bottom w:val="single" w:sz="4" w:space="0" w:color="FFFFFF"/>
              <w:right w:val="single" w:sz="4" w:space="0" w:color="FFFFFF"/>
            </w:tcBorders>
            <w:vAlign w:val="center"/>
          </w:tcPr>
          <w:p w14:paraId="0FEEB902" w14:textId="77777777" w:rsidR="00EA1838" w:rsidRPr="008B1101" w:rsidRDefault="00EA1838" w:rsidP="00C57059">
            <w:pPr>
              <w:rPr>
                <w:rFonts w:ascii="Century Gothic" w:hAnsi="Century Gothic"/>
                <w:sz w:val="16"/>
              </w:rPr>
            </w:pPr>
          </w:p>
        </w:tc>
        <w:tc>
          <w:tcPr>
            <w:tcW w:w="532" w:type="dxa"/>
            <w:gridSpan w:val="2"/>
            <w:tcBorders>
              <w:left w:val="single" w:sz="4" w:space="0" w:color="FFFFFF"/>
              <w:right w:val="single" w:sz="4" w:space="0" w:color="FFFFFF"/>
            </w:tcBorders>
            <w:vAlign w:val="center"/>
          </w:tcPr>
          <w:p w14:paraId="543C44DD" w14:textId="77777777" w:rsidR="00EA1838" w:rsidRPr="008B1101" w:rsidRDefault="00EA1838" w:rsidP="00C57059">
            <w:pPr>
              <w:jc w:val="right"/>
              <w:rPr>
                <w:rFonts w:ascii="Century Gothic" w:hAnsi="Century Gothic"/>
                <w:sz w:val="16"/>
              </w:rPr>
            </w:pPr>
          </w:p>
        </w:tc>
        <w:tc>
          <w:tcPr>
            <w:tcW w:w="236" w:type="dxa"/>
            <w:tcBorders>
              <w:left w:val="single" w:sz="4" w:space="0" w:color="FFFFFF"/>
              <w:right w:val="single" w:sz="4" w:space="0" w:color="FFFFFF"/>
            </w:tcBorders>
          </w:tcPr>
          <w:p w14:paraId="272AA289" w14:textId="77777777" w:rsidR="00EA1838" w:rsidRPr="008B1101" w:rsidRDefault="00EA1838" w:rsidP="00C57059">
            <w:pPr>
              <w:ind w:right="240"/>
              <w:rPr>
                <w:rFonts w:ascii="Century Gothic" w:hAnsi="Century Gothic"/>
                <w:sz w:val="16"/>
              </w:rPr>
            </w:pPr>
          </w:p>
        </w:tc>
        <w:tc>
          <w:tcPr>
            <w:tcW w:w="236" w:type="dxa"/>
            <w:tcBorders>
              <w:top w:val="single" w:sz="4" w:space="0" w:color="FFFFFF"/>
              <w:left w:val="single" w:sz="4" w:space="0" w:color="FFFFFF"/>
              <w:bottom w:val="single" w:sz="4" w:space="0" w:color="FFFFFF"/>
              <w:right w:val="single" w:sz="4" w:space="0" w:color="FFFFFF"/>
            </w:tcBorders>
            <w:vAlign w:val="center"/>
          </w:tcPr>
          <w:p w14:paraId="29AA29DA" w14:textId="77777777" w:rsidR="00EA1838" w:rsidRPr="008B1101" w:rsidRDefault="00EA1838" w:rsidP="00C57059">
            <w:pPr>
              <w:rPr>
                <w:rFonts w:ascii="Century Gothic" w:hAnsi="Century Gothic"/>
                <w:sz w:val="16"/>
              </w:rPr>
            </w:pPr>
          </w:p>
        </w:tc>
      </w:tr>
      <w:tr w:rsidR="00EA1838" w:rsidRPr="008B1101" w14:paraId="0245ACB7" w14:textId="77777777" w:rsidTr="00C57059">
        <w:trPr>
          <w:gridAfter w:val="1"/>
          <w:wAfter w:w="22" w:type="dxa"/>
          <w:trHeight w:val="193"/>
        </w:trPr>
        <w:tc>
          <w:tcPr>
            <w:tcW w:w="1749" w:type="dxa"/>
            <w:vAlign w:val="center"/>
          </w:tcPr>
          <w:p w14:paraId="28B37E46" w14:textId="77777777" w:rsidR="00EA1838" w:rsidRPr="008B1101" w:rsidRDefault="00EA1838" w:rsidP="00C57059">
            <w:pPr>
              <w:rPr>
                <w:rFonts w:ascii="Century Gothic" w:hAnsi="Century Gothic"/>
                <w:color w:val="808080"/>
                <w:sz w:val="16"/>
              </w:rPr>
            </w:pPr>
          </w:p>
        </w:tc>
        <w:tc>
          <w:tcPr>
            <w:tcW w:w="2119" w:type="dxa"/>
            <w:tcBorders>
              <w:top w:val="single" w:sz="2" w:space="0" w:color="003B85"/>
              <w:bottom w:val="single" w:sz="4" w:space="0" w:color="003B85"/>
            </w:tcBorders>
            <w:vAlign w:val="center"/>
          </w:tcPr>
          <w:p w14:paraId="09000599" w14:textId="77777777" w:rsidR="00EA1838" w:rsidRPr="008B1101" w:rsidRDefault="00EA1838" w:rsidP="00C57059">
            <w:pPr>
              <w:jc w:val="center"/>
              <w:rPr>
                <w:rFonts w:ascii="Century Gothic" w:hAnsi="Century Gothic"/>
                <w:color w:val="808080"/>
                <w:sz w:val="14"/>
                <w:szCs w:val="14"/>
              </w:rPr>
            </w:pPr>
            <w:r w:rsidRPr="008B1101">
              <w:rPr>
                <w:rFonts w:ascii="Century Gothic" w:hAnsi="Century Gothic"/>
                <w:color w:val="808080"/>
                <w:sz w:val="14"/>
                <w:szCs w:val="14"/>
              </w:rPr>
              <w:t>Kredītiestādes nosaukums</w:t>
            </w:r>
          </w:p>
        </w:tc>
        <w:tc>
          <w:tcPr>
            <w:tcW w:w="236" w:type="dxa"/>
            <w:vAlign w:val="center"/>
          </w:tcPr>
          <w:p w14:paraId="60E3683E" w14:textId="77777777" w:rsidR="00EA1838" w:rsidRPr="008B1101" w:rsidRDefault="00EA1838" w:rsidP="00C57059">
            <w:pPr>
              <w:jc w:val="center"/>
              <w:rPr>
                <w:rFonts w:ascii="Century Gothic" w:hAnsi="Century Gothic"/>
                <w:color w:val="808080"/>
                <w:sz w:val="2"/>
                <w:szCs w:val="2"/>
              </w:rPr>
            </w:pPr>
          </w:p>
        </w:tc>
        <w:tc>
          <w:tcPr>
            <w:tcW w:w="1936" w:type="dxa"/>
            <w:gridSpan w:val="3"/>
            <w:tcBorders>
              <w:top w:val="single" w:sz="2" w:space="0" w:color="003B85"/>
              <w:bottom w:val="single" w:sz="4" w:space="0" w:color="003B85"/>
            </w:tcBorders>
            <w:vAlign w:val="center"/>
          </w:tcPr>
          <w:p w14:paraId="0F22EC11" w14:textId="77777777" w:rsidR="00EA1838" w:rsidRPr="008B1101" w:rsidRDefault="00EA1838" w:rsidP="00C57059">
            <w:pPr>
              <w:jc w:val="center"/>
              <w:rPr>
                <w:rFonts w:ascii="Century Gothic" w:hAnsi="Century Gothic"/>
                <w:color w:val="808080"/>
                <w:sz w:val="14"/>
                <w:szCs w:val="14"/>
              </w:rPr>
            </w:pPr>
            <w:r w:rsidRPr="008B1101">
              <w:rPr>
                <w:rFonts w:ascii="Century Gothic" w:hAnsi="Century Gothic"/>
                <w:color w:val="808080"/>
                <w:sz w:val="14"/>
                <w:szCs w:val="14"/>
              </w:rPr>
              <w:t>Reģistrācijas Nr.</w:t>
            </w:r>
          </w:p>
        </w:tc>
        <w:tc>
          <w:tcPr>
            <w:tcW w:w="236" w:type="dxa"/>
            <w:vAlign w:val="center"/>
          </w:tcPr>
          <w:p w14:paraId="49C6FDF9" w14:textId="77777777" w:rsidR="00EA1838" w:rsidRPr="008B1101" w:rsidRDefault="00EA1838" w:rsidP="00C57059">
            <w:pPr>
              <w:jc w:val="center"/>
              <w:rPr>
                <w:rFonts w:ascii="Century Gothic" w:hAnsi="Century Gothic"/>
                <w:color w:val="808080"/>
                <w:sz w:val="14"/>
                <w:szCs w:val="14"/>
              </w:rPr>
            </w:pPr>
          </w:p>
        </w:tc>
        <w:tc>
          <w:tcPr>
            <w:tcW w:w="1540" w:type="dxa"/>
            <w:tcBorders>
              <w:top w:val="single" w:sz="4" w:space="0" w:color="FFFFFF"/>
              <w:bottom w:val="single" w:sz="4" w:space="0" w:color="003B85"/>
            </w:tcBorders>
            <w:vAlign w:val="center"/>
          </w:tcPr>
          <w:p w14:paraId="720A2354" w14:textId="77777777" w:rsidR="00EA1838" w:rsidRPr="008B1101" w:rsidRDefault="00EA1838" w:rsidP="00C57059">
            <w:pPr>
              <w:jc w:val="center"/>
              <w:rPr>
                <w:rFonts w:ascii="Century Gothic" w:hAnsi="Century Gothic"/>
                <w:color w:val="808080"/>
                <w:sz w:val="14"/>
                <w:szCs w:val="14"/>
              </w:rPr>
            </w:pPr>
          </w:p>
        </w:tc>
        <w:tc>
          <w:tcPr>
            <w:tcW w:w="532" w:type="dxa"/>
            <w:gridSpan w:val="2"/>
            <w:tcBorders>
              <w:bottom w:val="single" w:sz="4" w:space="0" w:color="003B85"/>
            </w:tcBorders>
            <w:vAlign w:val="center"/>
          </w:tcPr>
          <w:p w14:paraId="09FA409C" w14:textId="77777777" w:rsidR="00EA1838" w:rsidRPr="008B1101" w:rsidRDefault="00EA1838" w:rsidP="00C57059">
            <w:pPr>
              <w:jc w:val="center"/>
              <w:rPr>
                <w:rFonts w:ascii="Century Gothic" w:hAnsi="Century Gothic"/>
                <w:color w:val="808080"/>
                <w:sz w:val="14"/>
                <w:szCs w:val="14"/>
              </w:rPr>
            </w:pPr>
          </w:p>
        </w:tc>
        <w:tc>
          <w:tcPr>
            <w:tcW w:w="236" w:type="dxa"/>
            <w:tcBorders>
              <w:bottom w:val="single" w:sz="4" w:space="0" w:color="003B85"/>
            </w:tcBorders>
          </w:tcPr>
          <w:p w14:paraId="608D5425" w14:textId="77777777" w:rsidR="00EA1838" w:rsidRPr="008B1101" w:rsidRDefault="00EA1838" w:rsidP="00C57059">
            <w:pPr>
              <w:ind w:right="240"/>
              <w:jc w:val="center"/>
              <w:rPr>
                <w:rFonts w:ascii="Century Gothic" w:hAnsi="Century Gothic"/>
                <w:color w:val="808080"/>
                <w:sz w:val="14"/>
                <w:szCs w:val="14"/>
              </w:rPr>
            </w:pPr>
          </w:p>
        </w:tc>
        <w:tc>
          <w:tcPr>
            <w:tcW w:w="236" w:type="dxa"/>
            <w:tcBorders>
              <w:top w:val="single" w:sz="4" w:space="0" w:color="FFFFFF"/>
              <w:bottom w:val="single" w:sz="4" w:space="0" w:color="003B85"/>
            </w:tcBorders>
            <w:vAlign w:val="center"/>
          </w:tcPr>
          <w:p w14:paraId="28E2077A" w14:textId="77777777" w:rsidR="00EA1838" w:rsidRPr="008B1101" w:rsidRDefault="00EA1838" w:rsidP="00C57059">
            <w:pPr>
              <w:jc w:val="center"/>
              <w:rPr>
                <w:rFonts w:ascii="Century Gothic" w:hAnsi="Century Gothic"/>
                <w:color w:val="808080"/>
                <w:sz w:val="14"/>
                <w:szCs w:val="14"/>
              </w:rPr>
            </w:pPr>
          </w:p>
        </w:tc>
      </w:tr>
      <w:tr w:rsidR="00EA1838" w:rsidRPr="008B1101" w14:paraId="636791B7" w14:textId="77777777" w:rsidTr="00C57059">
        <w:trPr>
          <w:gridAfter w:val="1"/>
          <w:wAfter w:w="22" w:type="dxa"/>
          <w:trHeight w:val="193"/>
        </w:trPr>
        <w:tc>
          <w:tcPr>
            <w:tcW w:w="1749" w:type="dxa"/>
            <w:tcBorders>
              <w:right w:val="single" w:sz="4" w:space="0" w:color="003B85"/>
            </w:tcBorders>
            <w:vAlign w:val="center"/>
          </w:tcPr>
          <w:p w14:paraId="45FF9058" w14:textId="77777777" w:rsidR="00EA1838" w:rsidRPr="008B1101" w:rsidRDefault="00EA1838" w:rsidP="00C57059">
            <w:pPr>
              <w:rPr>
                <w:rFonts w:ascii="Century Gothic" w:hAnsi="Century Gothic"/>
                <w:color w:val="000000"/>
                <w:sz w:val="16"/>
                <w:szCs w:val="16"/>
              </w:rPr>
            </w:pPr>
            <w:r w:rsidRPr="008B1101">
              <w:rPr>
                <w:rFonts w:ascii="Century Gothic" w:hAnsi="Century Gothic"/>
                <w:color w:val="000000"/>
                <w:sz w:val="16"/>
                <w:szCs w:val="16"/>
              </w:rPr>
              <w:t>Kontaktpersona</w:t>
            </w:r>
          </w:p>
        </w:tc>
        <w:tc>
          <w:tcPr>
            <w:tcW w:w="2119" w:type="dxa"/>
            <w:tcBorders>
              <w:top w:val="single" w:sz="4" w:space="0" w:color="003B85"/>
              <w:left w:val="single" w:sz="4" w:space="0" w:color="003B85"/>
              <w:bottom w:val="single" w:sz="4" w:space="0" w:color="003B85"/>
              <w:right w:val="single" w:sz="4" w:space="0" w:color="003B85"/>
            </w:tcBorders>
            <w:vAlign w:val="center"/>
          </w:tcPr>
          <w:p w14:paraId="78514BB8" w14:textId="77777777" w:rsidR="00EA1838" w:rsidRPr="008B1101" w:rsidRDefault="00EA1838" w:rsidP="00C57059">
            <w:pPr>
              <w:rPr>
                <w:rFonts w:ascii="Century Gothic" w:hAnsi="Century Gothic"/>
                <w:color w:val="000000"/>
                <w:sz w:val="16"/>
                <w:szCs w:val="16"/>
              </w:rPr>
            </w:pPr>
          </w:p>
        </w:tc>
        <w:tc>
          <w:tcPr>
            <w:tcW w:w="236" w:type="dxa"/>
            <w:tcBorders>
              <w:left w:val="single" w:sz="4" w:space="0" w:color="003B85"/>
              <w:right w:val="single" w:sz="4" w:space="0" w:color="003B85"/>
            </w:tcBorders>
            <w:vAlign w:val="center"/>
          </w:tcPr>
          <w:p w14:paraId="61D2DB30" w14:textId="77777777" w:rsidR="00EA1838" w:rsidRPr="008B1101" w:rsidRDefault="00EA1838" w:rsidP="00C57059">
            <w:pPr>
              <w:rPr>
                <w:rFonts w:ascii="Century Gothic" w:hAnsi="Century Gothic"/>
                <w:color w:val="000000"/>
                <w:sz w:val="16"/>
                <w:szCs w:val="16"/>
              </w:rPr>
            </w:pPr>
          </w:p>
        </w:tc>
        <w:tc>
          <w:tcPr>
            <w:tcW w:w="1936" w:type="dxa"/>
            <w:gridSpan w:val="3"/>
            <w:tcBorders>
              <w:top w:val="single" w:sz="4" w:space="0" w:color="003B85"/>
              <w:left w:val="single" w:sz="4" w:space="0" w:color="003B85"/>
              <w:bottom w:val="single" w:sz="4" w:space="0" w:color="003B85"/>
              <w:right w:val="single" w:sz="4" w:space="0" w:color="003B85"/>
            </w:tcBorders>
            <w:vAlign w:val="center"/>
          </w:tcPr>
          <w:p w14:paraId="712F9853" w14:textId="77777777" w:rsidR="00EA1838" w:rsidRPr="008B1101" w:rsidRDefault="00EA1838" w:rsidP="00C57059">
            <w:pPr>
              <w:rPr>
                <w:rFonts w:ascii="Century Gothic" w:hAnsi="Century Gothic"/>
                <w:color w:val="000000"/>
                <w:sz w:val="16"/>
                <w:szCs w:val="16"/>
              </w:rPr>
            </w:pPr>
          </w:p>
        </w:tc>
        <w:tc>
          <w:tcPr>
            <w:tcW w:w="236" w:type="dxa"/>
            <w:tcBorders>
              <w:left w:val="single" w:sz="4" w:space="0" w:color="003B85"/>
              <w:right w:val="single" w:sz="4" w:space="0" w:color="auto"/>
            </w:tcBorders>
            <w:vAlign w:val="center"/>
          </w:tcPr>
          <w:p w14:paraId="49F3AAD4" w14:textId="77777777" w:rsidR="00EA1838" w:rsidRPr="008B1101" w:rsidRDefault="00EA1838" w:rsidP="00C57059">
            <w:pPr>
              <w:jc w:val="center"/>
              <w:rPr>
                <w:rFonts w:ascii="Century Gothic" w:hAnsi="Century Gothic"/>
                <w:color w:val="000000"/>
                <w:sz w:val="16"/>
                <w:szCs w:val="16"/>
              </w:rPr>
            </w:pPr>
          </w:p>
        </w:tc>
        <w:tc>
          <w:tcPr>
            <w:tcW w:w="2544" w:type="dxa"/>
            <w:gridSpan w:val="5"/>
            <w:tcBorders>
              <w:top w:val="single" w:sz="4" w:space="0" w:color="auto"/>
              <w:left w:val="single" w:sz="4" w:space="0" w:color="auto"/>
              <w:bottom w:val="single" w:sz="4" w:space="0" w:color="auto"/>
              <w:right w:val="single" w:sz="4" w:space="0" w:color="auto"/>
            </w:tcBorders>
            <w:vAlign w:val="center"/>
          </w:tcPr>
          <w:p w14:paraId="23ED5877" w14:textId="77777777" w:rsidR="00EA1838" w:rsidRPr="008B1101" w:rsidRDefault="00EA1838" w:rsidP="00C57059">
            <w:pPr>
              <w:jc w:val="center"/>
              <w:rPr>
                <w:rFonts w:ascii="Century Gothic" w:hAnsi="Century Gothic"/>
                <w:color w:val="000000"/>
                <w:sz w:val="16"/>
                <w:szCs w:val="16"/>
              </w:rPr>
            </w:pPr>
          </w:p>
        </w:tc>
      </w:tr>
      <w:tr w:rsidR="00EA1838" w:rsidRPr="008B1101" w14:paraId="0B08325E" w14:textId="77777777" w:rsidTr="00C57059">
        <w:trPr>
          <w:trHeight w:val="193"/>
        </w:trPr>
        <w:tc>
          <w:tcPr>
            <w:tcW w:w="1749" w:type="dxa"/>
            <w:vAlign w:val="center"/>
          </w:tcPr>
          <w:p w14:paraId="174DF412" w14:textId="77777777" w:rsidR="00EA1838" w:rsidRPr="008B1101" w:rsidRDefault="00EA1838" w:rsidP="00C57059">
            <w:pPr>
              <w:rPr>
                <w:rFonts w:ascii="Century Gothic" w:hAnsi="Century Gothic"/>
                <w:color w:val="808080"/>
                <w:sz w:val="16"/>
              </w:rPr>
            </w:pPr>
          </w:p>
        </w:tc>
        <w:tc>
          <w:tcPr>
            <w:tcW w:w="2119" w:type="dxa"/>
            <w:tcBorders>
              <w:top w:val="single" w:sz="4" w:space="0" w:color="003B85"/>
              <w:bottom w:val="single" w:sz="4" w:space="0" w:color="003B85"/>
            </w:tcBorders>
            <w:vAlign w:val="center"/>
          </w:tcPr>
          <w:p w14:paraId="2499212B" w14:textId="77777777" w:rsidR="00EA1838" w:rsidRPr="008B1101" w:rsidRDefault="00EA1838" w:rsidP="00C57059">
            <w:pPr>
              <w:jc w:val="center"/>
              <w:rPr>
                <w:rFonts w:ascii="Century Gothic" w:hAnsi="Century Gothic"/>
                <w:color w:val="808080"/>
                <w:sz w:val="14"/>
                <w:szCs w:val="14"/>
              </w:rPr>
            </w:pPr>
            <w:r w:rsidRPr="008B1101">
              <w:rPr>
                <w:rFonts w:ascii="Century Gothic" w:hAnsi="Century Gothic"/>
                <w:color w:val="808080"/>
                <w:sz w:val="14"/>
                <w:szCs w:val="14"/>
              </w:rPr>
              <w:t>Vārds, uzvārds</w:t>
            </w:r>
          </w:p>
        </w:tc>
        <w:tc>
          <w:tcPr>
            <w:tcW w:w="236" w:type="dxa"/>
            <w:vAlign w:val="center"/>
          </w:tcPr>
          <w:p w14:paraId="219A452A" w14:textId="77777777" w:rsidR="00EA1838" w:rsidRPr="008B1101" w:rsidRDefault="00EA1838" w:rsidP="00C57059">
            <w:pPr>
              <w:jc w:val="center"/>
              <w:rPr>
                <w:rFonts w:ascii="Century Gothic" w:hAnsi="Century Gothic"/>
                <w:color w:val="808080"/>
                <w:sz w:val="2"/>
                <w:szCs w:val="2"/>
              </w:rPr>
            </w:pPr>
          </w:p>
        </w:tc>
        <w:tc>
          <w:tcPr>
            <w:tcW w:w="1936" w:type="dxa"/>
            <w:gridSpan w:val="3"/>
            <w:tcBorders>
              <w:top w:val="single" w:sz="4" w:space="0" w:color="003B85"/>
              <w:bottom w:val="single" w:sz="4" w:space="0" w:color="FFFFFF"/>
            </w:tcBorders>
            <w:vAlign w:val="center"/>
          </w:tcPr>
          <w:p w14:paraId="365C2E3B" w14:textId="77777777" w:rsidR="00EA1838" w:rsidRPr="008B1101" w:rsidRDefault="00EA1838" w:rsidP="00C57059">
            <w:pPr>
              <w:jc w:val="center"/>
              <w:rPr>
                <w:rFonts w:ascii="Century Gothic" w:hAnsi="Century Gothic"/>
                <w:color w:val="808080"/>
                <w:sz w:val="14"/>
                <w:szCs w:val="14"/>
              </w:rPr>
            </w:pPr>
            <w:r w:rsidRPr="008B1101">
              <w:rPr>
                <w:rFonts w:ascii="Century Gothic" w:hAnsi="Century Gothic"/>
                <w:color w:val="808080"/>
                <w:sz w:val="14"/>
                <w:szCs w:val="14"/>
              </w:rPr>
              <w:t>Tālrunis</w:t>
            </w:r>
          </w:p>
        </w:tc>
        <w:tc>
          <w:tcPr>
            <w:tcW w:w="236" w:type="dxa"/>
            <w:vAlign w:val="center"/>
          </w:tcPr>
          <w:p w14:paraId="09665C56" w14:textId="77777777" w:rsidR="00EA1838" w:rsidRPr="008B1101" w:rsidRDefault="00EA1838" w:rsidP="00C57059">
            <w:pPr>
              <w:jc w:val="center"/>
              <w:rPr>
                <w:rFonts w:ascii="Century Gothic" w:hAnsi="Century Gothic"/>
                <w:color w:val="808080"/>
                <w:sz w:val="14"/>
                <w:szCs w:val="14"/>
              </w:rPr>
            </w:pPr>
          </w:p>
        </w:tc>
        <w:tc>
          <w:tcPr>
            <w:tcW w:w="1570" w:type="dxa"/>
            <w:gridSpan w:val="2"/>
            <w:tcBorders>
              <w:top w:val="single" w:sz="4" w:space="0" w:color="003B85"/>
              <w:bottom w:val="single" w:sz="4" w:space="0" w:color="003B85"/>
            </w:tcBorders>
            <w:vAlign w:val="center"/>
          </w:tcPr>
          <w:p w14:paraId="36F10CFC" w14:textId="77777777" w:rsidR="00EA1838" w:rsidRPr="008B1101" w:rsidRDefault="00EA1838" w:rsidP="00C57059">
            <w:pPr>
              <w:jc w:val="center"/>
              <w:rPr>
                <w:rFonts w:ascii="Century Gothic" w:hAnsi="Century Gothic"/>
                <w:color w:val="808080"/>
                <w:sz w:val="14"/>
                <w:szCs w:val="14"/>
              </w:rPr>
            </w:pPr>
            <w:r w:rsidRPr="008B1101">
              <w:rPr>
                <w:rFonts w:ascii="Century Gothic" w:hAnsi="Century Gothic"/>
                <w:color w:val="808080"/>
                <w:sz w:val="14"/>
                <w:szCs w:val="14"/>
              </w:rPr>
              <w:t>E-pasts</w:t>
            </w:r>
          </w:p>
        </w:tc>
        <w:tc>
          <w:tcPr>
            <w:tcW w:w="996" w:type="dxa"/>
            <w:gridSpan w:val="4"/>
            <w:tcBorders>
              <w:top w:val="single" w:sz="4" w:space="0" w:color="003B85"/>
              <w:bottom w:val="single" w:sz="4" w:space="0" w:color="003B85"/>
            </w:tcBorders>
          </w:tcPr>
          <w:p w14:paraId="588BECCC" w14:textId="77777777" w:rsidR="00EA1838" w:rsidRPr="008B1101" w:rsidRDefault="00EA1838" w:rsidP="00C57059">
            <w:pPr>
              <w:jc w:val="center"/>
              <w:rPr>
                <w:rFonts w:ascii="Century Gothic" w:hAnsi="Century Gothic"/>
                <w:color w:val="808080"/>
                <w:sz w:val="14"/>
                <w:szCs w:val="14"/>
              </w:rPr>
            </w:pPr>
          </w:p>
        </w:tc>
      </w:tr>
      <w:tr w:rsidR="00EA1838" w:rsidRPr="008B1101" w14:paraId="72416764" w14:textId="77777777" w:rsidTr="00C57059">
        <w:trPr>
          <w:trHeight w:val="173"/>
        </w:trPr>
        <w:tc>
          <w:tcPr>
            <w:tcW w:w="1749" w:type="dxa"/>
            <w:vMerge w:val="restart"/>
            <w:tcBorders>
              <w:right w:val="single" w:sz="4" w:space="0" w:color="003B85"/>
            </w:tcBorders>
            <w:vAlign w:val="center"/>
          </w:tcPr>
          <w:p w14:paraId="5480F4F9" w14:textId="77777777" w:rsidR="00EA1838" w:rsidRPr="008B1101" w:rsidRDefault="00EA1838" w:rsidP="00C57059">
            <w:pPr>
              <w:rPr>
                <w:rFonts w:ascii="Century Gothic" w:hAnsi="Century Gothic"/>
                <w:color w:val="000000"/>
                <w:sz w:val="16"/>
              </w:rPr>
            </w:pPr>
            <w:r w:rsidRPr="008B1101">
              <w:rPr>
                <w:rFonts w:ascii="Century Gothic" w:hAnsi="Century Gothic"/>
                <w:color w:val="000000"/>
                <w:sz w:val="16"/>
              </w:rPr>
              <w:t>Konts kompensācijas izmaksai</w:t>
            </w:r>
          </w:p>
          <w:p w14:paraId="7242D077" w14:textId="77777777" w:rsidR="00EA1838" w:rsidRPr="008B1101" w:rsidRDefault="00EA1838" w:rsidP="00C57059">
            <w:pPr>
              <w:rPr>
                <w:rFonts w:ascii="Century Gothic" w:hAnsi="Century Gothic"/>
                <w:color w:val="000000"/>
                <w:sz w:val="16"/>
              </w:rPr>
            </w:pPr>
          </w:p>
          <w:p w14:paraId="08446789" w14:textId="77777777" w:rsidR="00EA1838" w:rsidRPr="008B1101" w:rsidRDefault="00EA1838" w:rsidP="00C57059">
            <w:pPr>
              <w:rPr>
                <w:rFonts w:ascii="Century Gothic" w:hAnsi="Century Gothic"/>
                <w:color w:val="000000"/>
                <w:sz w:val="16"/>
              </w:rPr>
            </w:pPr>
          </w:p>
        </w:tc>
        <w:tc>
          <w:tcPr>
            <w:tcW w:w="2119" w:type="dxa"/>
            <w:tcBorders>
              <w:top w:val="single" w:sz="4" w:space="0" w:color="003B85"/>
              <w:left w:val="single" w:sz="4" w:space="0" w:color="003B85"/>
              <w:bottom w:val="single" w:sz="4" w:space="0" w:color="003B85"/>
              <w:right w:val="single" w:sz="4" w:space="0" w:color="003B85"/>
            </w:tcBorders>
            <w:vAlign w:val="center"/>
          </w:tcPr>
          <w:p w14:paraId="4344A173" w14:textId="77777777" w:rsidR="00EA1838" w:rsidRPr="008B1101" w:rsidRDefault="00EA1838" w:rsidP="00C57059">
            <w:pPr>
              <w:rPr>
                <w:rFonts w:ascii="Century Gothic" w:hAnsi="Century Gothic"/>
                <w:color w:val="000000"/>
                <w:sz w:val="14"/>
                <w:szCs w:val="14"/>
              </w:rPr>
            </w:pPr>
          </w:p>
        </w:tc>
        <w:tc>
          <w:tcPr>
            <w:tcW w:w="236" w:type="dxa"/>
            <w:tcBorders>
              <w:left w:val="single" w:sz="4" w:space="0" w:color="003B85"/>
              <w:right w:val="single" w:sz="4" w:space="0" w:color="003B85"/>
            </w:tcBorders>
            <w:vAlign w:val="center"/>
          </w:tcPr>
          <w:p w14:paraId="3AF298D6" w14:textId="77777777" w:rsidR="00EA1838" w:rsidRPr="008B1101" w:rsidRDefault="00EA1838" w:rsidP="00C57059">
            <w:pPr>
              <w:jc w:val="center"/>
              <w:rPr>
                <w:rFonts w:ascii="Century Gothic" w:hAnsi="Century Gothic"/>
                <w:color w:val="000000"/>
                <w:sz w:val="2"/>
                <w:szCs w:val="2"/>
              </w:rPr>
            </w:pPr>
          </w:p>
        </w:tc>
        <w:tc>
          <w:tcPr>
            <w:tcW w:w="1045" w:type="dxa"/>
            <w:tcBorders>
              <w:top w:val="single" w:sz="4" w:space="0" w:color="003B85"/>
              <w:left w:val="single" w:sz="4" w:space="0" w:color="003B85"/>
              <w:bottom w:val="single" w:sz="4" w:space="0" w:color="003B85"/>
              <w:right w:val="single" w:sz="4" w:space="0" w:color="003B85"/>
            </w:tcBorders>
            <w:vAlign w:val="center"/>
          </w:tcPr>
          <w:p w14:paraId="07DE1E57" w14:textId="77777777" w:rsidR="00EA1838" w:rsidRPr="008B1101" w:rsidRDefault="00EA1838" w:rsidP="00C57059">
            <w:pPr>
              <w:jc w:val="center"/>
              <w:rPr>
                <w:rFonts w:ascii="Century Gothic" w:hAnsi="Century Gothic"/>
                <w:color w:val="000000"/>
                <w:sz w:val="14"/>
                <w:szCs w:val="14"/>
              </w:rPr>
            </w:pPr>
          </w:p>
        </w:tc>
        <w:tc>
          <w:tcPr>
            <w:tcW w:w="267" w:type="dxa"/>
            <w:tcBorders>
              <w:top w:val="single" w:sz="4" w:space="0" w:color="FFFFFF"/>
              <w:left w:val="single" w:sz="4" w:space="0" w:color="003B85"/>
              <w:right w:val="single" w:sz="4" w:space="0" w:color="003B85"/>
            </w:tcBorders>
            <w:vAlign w:val="center"/>
          </w:tcPr>
          <w:p w14:paraId="6F3EA5DA" w14:textId="77777777" w:rsidR="00EA1838" w:rsidRPr="008B1101" w:rsidRDefault="00EA1838" w:rsidP="00C57059">
            <w:pPr>
              <w:jc w:val="center"/>
              <w:rPr>
                <w:rFonts w:ascii="Century Gothic" w:hAnsi="Century Gothic"/>
                <w:color w:val="000000"/>
                <w:sz w:val="14"/>
                <w:szCs w:val="14"/>
              </w:rPr>
            </w:pPr>
          </w:p>
        </w:tc>
        <w:tc>
          <w:tcPr>
            <w:tcW w:w="3426" w:type="dxa"/>
            <w:gridSpan w:val="8"/>
            <w:tcBorders>
              <w:top w:val="single" w:sz="4" w:space="0" w:color="003B85"/>
              <w:left w:val="single" w:sz="4" w:space="0" w:color="003B85"/>
              <w:bottom w:val="single" w:sz="4" w:space="0" w:color="003B85"/>
              <w:right w:val="single" w:sz="4" w:space="0" w:color="003B85"/>
            </w:tcBorders>
            <w:vAlign w:val="center"/>
          </w:tcPr>
          <w:p w14:paraId="516D8984" w14:textId="77777777" w:rsidR="00EA1838" w:rsidRPr="008B1101" w:rsidRDefault="00EA1838" w:rsidP="00C57059">
            <w:pPr>
              <w:jc w:val="center"/>
              <w:rPr>
                <w:rFonts w:ascii="Century Gothic" w:hAnsi="Century Gothic"/>
                <w:color w:val="000000"/>
                <w:sz w:val="14"/>
                <w:szCs w:val="14"/>
              </w:rPr>
            </w:pPr>
          </w:p>
        </w:tc>
      </w:tr>
      <w:tr w:rsidR="00EA1838" w:rsidRPr="008B1101" w14:paraId="2F06FDAD" w14:textId="77777777" w:rsidTr="00C57059">
        <w:trPr>
          <w:trHeight w:val="617"/>
        </w:trPr>
        <w:tc>
          <w:tcPr>
            <w:tcW w:w="1749" w:type="dxa"/>
            <w:vMerge/>
            <w:tcBorders>
              <w:bottom w:val="single" w:sz="4" w:space="0" w:color="FFFFFF"/>
            </w:tcBorders>
            <w:vAlign w:val="center"/>
          </w:tcPr>
          <w:p w14:paraId="52284A62" w14:textId="77777777" w:rsidR="00EA1838" w:rsidRPr="008B1101" w:rsidRDefault="00EA1838" w:rsidP="00C57059">
            <w:pPr>
              <w:rPr>
                <w:rFonts w:ascii="Century Gothic" w:hAnsi="Century Gothic"/>
                <w:color w:val="808080"/>
                <w:sz w:val="16"/>
              </w:rPr>
            </w:pPr>
          </w:p>
        </w:tc>
        <w:tc>
          <w:tcPr>
            <w:tcW w:w="2119" w:type="dxa"/>
            <w:tcBorders>
              <w:top w:val="single" w:sz="4" w:space="0" w:color="003B85"/>
              <w:bottom w:val="single" w:sz="4" w:space="0" w:color="FFFFFF"/>
            </w:tcBorders>
          </w:tcPr>
          <w:p w14:paraId="6EBA7088" w14:textId="77777777" w:rsidR="00EA1838" w:rsidRPr="008B1101" w:rsidRDefault="00EA1838" w:rsidP="00C57059">
            <w:pPr>
              <w:jc w:val="center"/>
              <w:rPr>
                <w:rFonts w:ascii="Century Gothic" w:hAnsi="Century Gothic"/>
                <w:color w:val="808080"/>
                <w:sz w:val="14"/>
                <w:szCs w:val="14"/>
              </w:rPr>
            </w:pPr>
            <w:r w:rsidRPr="008B1101">
              <w:rPr>
                <w:rFonts w:ascii="Century Gothic" w:hAnsi="Century Gothic"/>
                <w:color w:val="808080"/>
                <w:sz w:val="14"/>
                <w:szCs w:val="14"/>
              </w:rPr>
              <w:t>Saņēmēja banka</w:t>
            </w:r>
          </w:p>
        </w:tc>
        <w:tc>
          <w:tcPr>
            <w:tcW w:w="236" w:type="dxa"/>
            <w:tcBorders>
              <w:bottom w:val="single" w:sz="4" w:space="0" w:color="FFFFFF"/>
            </w:tcBorders>
          </w:tcPr>
          <w:p w14:paraId="017C16EF" w14:textId="77777777" w:rsidR="00EA1838" w:rsidRPr="008B1101" w:rsidRDefault="00EA1838" w:rsidP="00C57059">
            <w:pPr>
              <w:jc w:val="center"/>
              <w:rPr>
                <w:rFonts w:ascii="Century Gothic" w:hAnsi="Century Gothic"/>
                <w:color w:val="808080"/>
                <w:sz w:val="2"/>
                <w:szCs w:val="2"/>
              </w:rPr>
            </w:pPr>
          </w:p>
        </w:tc>
        <w:tc>
          <w:tcPr>
            <w:tcW w:w="1045" w:type="dxa"/>
            <w:tcBorders>
              <w:top w:val="single" w:sz="4" w:space="0" w:color="003B85"/>
              <w:bottom w:val="single" w:sz="4" w:space="0" w:color="FFFFFF"/>
            </w:tcBorders>
          </w:tcPr>
          <w:p w14:paraId="10887651" w14:textId="77777777" w:rsidR="00EA1838" w:rsidRPr="008B1101" w:rsidRDefault="00EA1838" w:rsidP="00C57059">
            <w:pPr>
              <w:jc w:val="center"/>
              <w:rPr>
                <w:rFonts w:ascii="Century Gothic" w:hAnsi="Century Gothic"/>
                <w:color w:val="808080"/>
                <w:sz w:val="14"/>
                <w:szCs w:val="14"/>
              </w:rPr>
            </w:pPr>
            <w:r w:rsidRPr="008B1101">
              <w:rPr>
                <w:rFonts w:ascii="Century Gothic" w:hAnsi="Century Gothic"/>
                <w:color w:val="808080"/>
                <w:sz w:val="14"/>
                <w:szCs w:val="14"/>
              </w:rPr>
              <w:t>Bankas kods</w:t>
            </w:r>
          </w:p>
        </w:tc>
        <w:tc>
          <w:tcPr>
            <w:tcW w:w="267" w:type="dxa"/>
            <w:tcBorders>
              <w:bottom w:val="single" w:sz="4" w:space="0" w:color="FFFFFF"/>
            </w:tcBorders>
          </w:tcPr>
          <w:p w14:paraId="5E2FAA56" w14:textId="77777777" w:rsidR="00EA1838" w:rsidRPr="008B1101" w:rsidRDefault="00EA1838" w:rsidP="00C57059">
            <w:pPr>
              <w:jc w:val="center"/>
              <w:rPr>
                <w:rFonts w:ascii="Century Gothic" w:hAnsi="Century Gothic"/>
                <w:color w:val="808080"/>
                <w:sz w:val="14"/>
                <w:szCs w:val="14"/>
              </w:rPr>
            </w:pPr>
          </w:p>
        </w:tc>
        <w:tc>
          <w:tcPr>
            <w:tcW w:w="2430" w:type="dxa"/>
            <w:gridSpan w:val="4"/>
            <w:tcBorders>
              <w:top w:val="single" w:sz="4" w:space="0" w:color="003B85"/>
              <w:bottom w:val="single" w:sz="4" w:space="0" w:color="FFFFFF"/>
            </w:tcBorders>
          </w:tcPr>
          <w:p w14:paraId="65A69153" w14:textId="77777777" w:rsidR="00EA1838" w:rsidRPr="008B1101" w:rsidRDefault="00EA1838" w:rsidP="00C57059">
            <w:pPr>
              <w:jc w:val="center"/>
              <w:rPr>
                <w:rFonts w:ascii="Century Gothic" w:hAnsi="Century Gothic"/>
                <w:color w:val="808080"/>
                <w:sz w:val="14"/>
                <w:szCs w:val="14"/>
              </w:rPr>
            </w:pPr>
            <w:r w:rsidRPr="008B1101">
              <w:rPr>
                <w:rFonts w:ascii="Century Gothic" w:hAnsi="Century Gothic"/>
                <w:color w:val="808080"/>
                <w:sz w:val="14"/>
                <w:szCs w:val="14"/>
              </w:rPr>
              <w:t>Konta IBAN numurs</w:t>
            </w:r>
          </w:p>
        </w:tc>
        <w:tc>
          <w:tcPr>
            <w:tcW w:w="996" w:type="dxa"/>
            <w:gridSpan w:val="4"/>
            <w:tcBorders>
              <w:top w:val="single" w:sz="4" w:space="0" w:color="003B85"/>
              <w:bottom w:val="single" w:sz="4" w:space="0" w:color="FFFFFF"/>
            </w:tcBorders>
          </w:tcPr>
          <w:p w14:paraId="42220AD9" w14:textId="77777777" w:rsidR="00EA1838" w:rsidRPr="008B1101" w:rsidRDefault="00EA1838" w:rsidP="00C57059">
            <w:pPr>
              <w:jc w:val="center"/>
              <w:rPr>
                <w:rFonts w:ascii="Century Gothic" w:hAnsi="Century Gothic"/>
                <w:color w:val="808080"/>
                <w:sz w:val="14"/>
                <w:szCs w:val="14"/>
              </w:rPr>
            </w:pPr>
          </w:p>
        </w:tc>
      </w:tr>
    </w:tbl>
    <w:p w14:paraId="3A3E9D54" w14:textId="77777777" w:rsidR="00EA1838" w:rsidRDefault="00EA1838" w:rsidP="00EA1838">
      <w:pPr>
        <w:overflowPunct/>
        <w:autoSpaceDE/>
        <w:autoSpaceDN/>
        <w:adjustRightInd/>
        <w:spacing w:after="160" w:line="259" w:lineRule="auto"/>
        <w:textAlignment w:val="auto"/>
        <w:rPr>
          <w:rFonts w:ascii="Times New Roman" w:hAnsi="Times New Roman"/>
          <w:b/>
          <w:bCs/>
          <w:sz w:val="22"/>
          <w:szCs w:val="22"/>
        </w:rPr>
      </w:pPr>
    </w:p>
    <w:tbl>
      <w:tblPr>
        <w:tblW w:w="8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1416"/>
        <w:gridCol w:w="1556"/>
        <w:gridCol w:w="1274"/>
        <w:gridCol w:w="1197"/>
        <w:gridCol w:w="1220"/>
        <w:gridCol w:w="1135"/>
      </w:tblGrid>
      <w:tr w:rsidR="00EA1838" w:rsidRPr="00527CF9" w14:paraId="06FBD5A6" w14:textId="77777777" w:rsidTr="00C57059">
        <w:trPr>
          <w:trHeight w:val="225"/>
        </w:trPr>
        <w:tc>
          <w:tcPr>
            <w:tcW w:w="988" w:type="dxa"/>
            <w:shd w:val="clear" w:color="000000" w:fill="C0C0C0"/>
            <w:hideMark/>
          </w:tcPr>
          <w:p w14:paraId="0F26844C" w14:textId="77777777" w:rsidR="00EA1838" w:rsidRPr="00527CF9" w:rsidRDefault="00EA1838" w:rsidP="00C57059">
            <w:pPr>
              <w:jc w:val="center"/>
              <w:rPr>
                <w:rFonts w:ascii="Arial" w:hAnsi="Arial" w:cs="Arial"/>
                <w:b/>
                <w:bCs/>
                <w:sz w:val="14"/>
                <w:szCs w:val="14"/>
                <w:lang w:eastAsia="lv-LV"/>
              </w:rPr>
            </w:pPr>
            <w:r>
              <w:rPr>
                <w:rFonts w:ascii="Arial" w:hAnsi="Arial" w:cs="Arial"/>
                <w:b/>
                <w:bCs/>
                <w:sz w:val="14"/>
                <w:szCs w:val="14"/>
                <w:lang w:eastAsia="lv-LV"/>
              </w:rPr>
              <w:t>1.</w:t>
            </w:r>
          </w:p>
        </w:tc>
        <w:tc>
          <w:tcPr>
            <w:tcW w:w="1417" w:type="dxa"/>
            <w:shd w:val="clear" w:color="000000" w:fill="C0C0C0"/>
            <w:hideMark/>
          </w:tcPr>
          <w:p w14:paraId="53AE16D9" w14:textId="77777777" w:rsidR="00EA1838" w:rsidRPr="00527CF9" w:rsidRDefault="00EA1838" w:rsidP="00C57059">
            <w:pPr>
              <w:jc w:val="center"/>
              <w:rPr>
                <w:rFonts w:ascii="Arial" w:hAnsi="Arial" w:cs="Arial"/>
                <w:b/>
                <w:bCs/>
                <w:sz w:val="14"/>
                <w:szCs w:val="14"/>
                <w:lang w:eastAsia="lv-LV"/>
              </w:rPr>
            </w:pPr>
            <w:r>
              <w:rPr>
                <w:rFonts w:ascii="Arial" w:hAnsi="Arial" w:cs="Arial"/>
                <w:b/>
                <w:bCs/>
                <w:sz w:val="14"/>
                <w:szCs w:val="14"/>
                <w:lang w:eastAsia="lv-LV"/>
              </w:rPr>
              <w:t>2.</w:t>
            </w:r>
          </w:p>
        </w:tc>
        <w:tc>
          <w:tcPr>
            <w:tcW w:w="1558" w:type="dxa"/>
            <w:shd w:val="clear" w:color="000000" w:fill="C0C0C0"/>
            <w:hideMark/>
          </w:tcPr>
          <w:p w14:paraId="58AF685C" w14:textId="77777777" w:rsidR="00EA1838" w:rsidRPr="00527CF9" w:rsidRDefault="00EA1838" w:rsidP="00C57059">
            <w:pPr>
              <w:jc w:val="center"/>
              <w:rPr>
                <w:rFonts w:ascii="Arial" w:hAnsi="Arial" w:cs="Arial"/>
                <w:b/>
                <w:bCs/>
                <w:sz w:val="14"/>
                <w:szCs w:val="14"/>
                <w:lang w:eastAsia="lv-LV"/>
              </w:rPr>
            </w:pPr>
            <w:r>
              <w:rPr>
                <w:rFonts w:ascii="Arial" w:hAnsi="Arial" w:cs="Arial"/>
                <w:b/>
                <w:bCs/>
                <w:sz w:val="14"/>
                <w:szCs w:val="14"/>
                <w:lang w:eastAsia="lv-LV"/>
              </w:rPr>
              <w:t>3.</w:t>
            </w:r>
          </w:p>
        </w:tc>
        <w:tc>
          <w:tcPr>
            <w:tcW w:w="1275" w:type="dxa"/>
            <w:shd w:val="clear" w:color="000000" w:fill="C0C0C0"/>
            <w:hideMark/>
          </w:tcPr>
          <w:p w14:paraId="5C436FFB" w14:textId="77777777" w:rsidR="00EA1838" w:rsidRPr="00527CF9" w:rsidRDefault="00EA1838" w:rsidP="00C57059">
            <w:pPr>
              <w:jc w:val="center"/>
              <w:rPr>
                <w:rFonts w:ascii="Arial" w:hAnsi="Arial" w:cs="Arial"/>
                <w:b/>
                <w:bCs/>
                <w:sz w:val="14"/>
                <w:szCs w:val="14"/>
                <w:lang w:eastAsia="lv-LV"/>
              </w:rPr>
            </w:pPr>
            <w:r>
              <w:rPr>
                <w:rFonts w:ascii="Arial" w:hAnsi="Arial" w:cs="Arial"/>
                <w:b/>
                <w:bCs/>
                <w:sz w:val="14"/>
                <w:szCs w:val="14"/>
                <w:lang w:eastAsia="lv-LV"/>
              </w:rPr>
              <w:t>4.</w:t>
            </w:r>
          </w:p>
        </w:tc>
        <w:tc>
          <w:tcPr>
            <w:tcW w:w="1197" w:type="dxa"/>
            <w:shd w:val="clear" w:color="000000" w:fill="C0C0C0"/>
            <w:hideMark/>
          </w:tcPr>
          <w:p w14:paraId="222BD2DE" w14:textId="77777777" w:rsidR="00EA1838" w:rsidRPr="00527CF9" w:rsidRDefault="00EA1838" w:rsidP="00C57059">
            <w:pPr>
              <w:jc w:val="center"/>
              <w:rPr>
                <w:rFonts w:ascii="Arial" w:hAnsi="Arial" w:cs="Arial"/>
                <w:b/>
                <w:bCs/>
                <w:sz w:val="14"/>
                <w:szCs w:val="14"/>
                <w:lang w:eastAsia="lv-LV"/>
              </w:rPr>
            </w:pPr>
            <w:r>
              <w:rPr>
                <w:rFonts w:ascii="Arial" w:hAnsi="Arial" w:cs="Arial"/>
                <w:b/>
                <w:bCs/>
                <w:sz w:val="14"/>
                <w:szCs w:val="14"/>
                <w:lang w:eastAsia="lv-LV"/>
              </w:rPr>
              <w:t>5.</w:t>
            </w:r>
          </w:p>
        </w:tc>
        <w:tc>
          <w:tcPr>
            <w:tcW w:w="1215" w:type="dxa"/>
            <w:shd w:val="clear" w:color="000000" w:fill="C0C0C0"/>
          </w:tcPr>
          <w:p w14:paraId="06454A98" w14:textId="77777777" w:rsidR="00EA1838" w:rsidRDefault="00EA1838" w:rsidP="00C57059">
            <w:pPr>
              <w:jc w:val="center"/>
              <w:rPr>
                <w:rFonts w:ascii="Arial" w:hAnsi="Arial" w:cs="Arial"/>
                <w:b/>
                <w:bCs/>
                <w:sz w:val="14"/>
                <w:szCs w:val="14"/>
                <w:lang w:eastAsia="lv-LV"/>
              </w:rPr>
            </w:pPr>
            <w:r>
              <w:rPr>
                <w:rFonts w:ascii="Arial" w:hAnsi="Arial" w:cs="Arial"/>
                <w:b/>
                <w:bCs/>
                <w:sz w:val="14"/>
                <w:szCs w:val="14"/>
                <w:lang w:eastAsia="lv-LV"/>
              </w:rPr>
              <w:t>6.</w:t>
            </w:r>
          </w:p>
        </w:tc>
        <w:tc>
          <w:tcPr>
            <w:tcW w:w="1135" w:type="dxa"/>
            <w:shd w:val="clear" w:color="000000" w:fill="C0C0C0"/>
            <w:hideMark/>
          </w:tcPr>
          <w:p w14:paraId="2B4B68AF" w14:textId="77777777" w:rsidR="00EA1838" w:rsidRPr="00527CF9" w:rsidRDefault="00EA1838" w:rsidP="00C57059">
            <w:pPr>
              <w:jc w:val="center"/>
              <w:rPr>
                <w:rFonts w:ascii="Arial" w:hAnsi="Arial" w:cs="Arial"/>
                <w:b/>
                <w:bCs/>
                <w:sz w:val="14"/>
                <w:szCs w:val="14"/>
                <w:lang w:eastAsia="lv-LV"/>
              </w:rPr>
            </w:pPr>
            <w:r>
              <w:rPr>
                <w:rFonts w:ascii="Arial" w:hAnsi="Arial" w:cs="Arial"/>
                <w:b/>
                <w:bCs/>
                <w:sz w:val="14"/>
                <w:szCs w:val="14"/>
                <w:lang w:eastAsia="lv-LV"/>
              </w:rPr>
              <w:t>7.</w:t>
            </w:r>
          </w:p>
        </w:tc>
      </w:tr>
      <w:tr w:rsidR="00EA1838" w:rsidRPr="00527CF9" w14:paraId="6F53C6B2" w14:textId="77777777" w:rsidTr="00C57059">
        <w:trPr>
          <w:trHeight w:val="825"/>
        </w:trPr>
        <w:tc>
          <w:tcPr>
            <w:tcW w:w="988" w:type="dxa"/>
            <w:shd w:val="clear" w:color="000000" w:fill="C0C0C0"/>
            <w:vAlign w:val="center"/>
            <w:hideMark/>
          </w:tcPr>
          <w:p w14:paraId="063FED24" w14:textId="77777777" w:rsidR="00EA1838" w:rsidRPr="00527CF9" w:rsidRDefault="00EA1838" w:rsidP="00C57059">
            <w:pPr>
              <w:jc w:val="center"/>
              <w:rPr>
                <w:rFonts w:ascii="Arial" w:hAnsi="Arial" w:cs="Arial"/>
                <w:b/>
                <w:bCs/>
                <w:sz w:val="14"/>
                <w:szCs w:val="14"/>
                <w:lang w:eastAsia="lv-LV"/>
              </w:rPr>
            </w:pPr>
            <w:r>
              <w:rPr>
                <w:rFonts w:ascii="Arial" w:hAnsi="Arial" w:cs="Arial"/>
                <w:b/>
                <w:bCs/>
                <w:sz w:val="14"/>
                <w:szCs w:val="14"/>
                <w:lang w:eastAsia="lv-LV"/>
              </w:rPr>
              <w:t xml:space="preserve">Kredīta ņēmēja </w:t>
            </w:r>
            <w:r w:rsidRPr="00527CF9">
              <w:rPr>
                <w:rFonts w:ascii="Arial" w:hAnsi="Arial" w:cs="Arial"/>
                <w:b/>
                <w:bCs/>
                <w:sz w:val="14"/>
                <w:szCs w:val="14"/>
                <w:lang w:eastAsia="lv-LV"/>
              </w:rPr>
              <w:t>ID</w:t>
            </w:r>
          </w:p>
        </w:tc>
        <w:tc>
          <w:tcPr>
            <w:tcW w:w="1417" w:type="dxa"/>
            <w:shd w:val="clear" w:color="000000" w:fill="C0C0C0"/>
            <w:vAlign w:val="center"/>
            <w:hideMark/>
          </w:tcPr>
          <w:p w14:paraId="5D793B85" w14:textId="77777777" w:rsidR="00EA1838" w:rsidRPr="00527CF9" w:rsidRDefault="00EA1838" w:rsidP="00C57059">
            <w:pPr>
              <w:jc w:val="center"/>
              <w:rPr>
                <w:rFonts w:ascii="Arial" w:hAnsi="Arial" w:cs="Arial"/>
                <w:b/>
                <w:bCs/>
                <w:sz w:val="14"/>
                <w:szCs w:val="14"/>
                <w:lang w:eastAsia="lv-LV"/>
              </w:rPr>
            </w:pPr>
            <w:r>
              <w:rPr>
                <w:rFonts w:ascii="Arial" w:hAnsi="Arial" w:cs="Arial"/>
                <w:b/>
                <w:bCs/>
                <w:sz w:val="14"/>
                <w:szCs w:val="14"/>
                <w:lang w:eastAsia="lv-LV"/>
              </w:rPr>
              <w:t>Finanšu pakalpojuma</w:t>
            </w:r>
            <w:r w:rsidRPr="00527CF9">
              <w:rPr>
                <w:rFonts w:ascii="Arial" w:hAnsi="Arial" w:cs="Arial"/>
                <w:b/>
                <w:bCs/>
                <w:sz w:val="14"/>
                <w:szCs w:val="14"/>
                <w:lang w:eastAsia="lv-LV"/>
              </w:rPr>
              <w:t xml:space="preserve"> ID</w:t>
            </w:r>
            <w:r>
              <w:rPr>
                <w:rFonts w:ascii="Arial" w:hAnsi="Arial" w:cs="Arial"/>
                <w:b/>
                <w:bCs/>
                <w:sz w:val="14"/>
                <w:szCs w:val="14"/>
                <w:lang w:eastAsia="lv-LV"/>
              </w:rPr>
              <w:t xml:space="preserve"> LB KR</w:t>
            </w:r>
          </w:p>
        </w:tc>
        <w:tc>
          <w:tcPr>
            <w:tcW w:w="1558" w:type="dxa"/>
            <w:shd w:val="clear" w:color="000000" w:fill="C0C0C0"/>
            <w:vAlign w:val="center"/>
            <w:hideMark/>
          </w:tcPr>
          <w:p w14:paraId="0EED3510" w14:textId="77777777" w:rsidR="00EA1838" w:rsidRPr="00527CF9" w:rsidRDefault="00EA1838" w:rsidP="00C57059">
            <w:pPr>
              <w:jc w:val="center"/>
              <w:rPr>
                <w:rFonts w:ascii="Arial" w:hAnsi="Arial" w:cs="Arial"/>
                <w:b/>
                <w:bCs/>
                <w:sz w:val="14"/>
                <w:szCs w:val="14"/>
                <w:lang w:eastAsia="lv-LV"/>
              </w:rPr>
            </w:pPr>
            <w:r>
              <w:rPr>
                <w:rFonts w:ascii="Arial" w:hAnsi="Arial" w:cs="Arial"/>
                <w:b/>
                <w:bCs/>
                <w:sz w:val="14"/>
                <w:szCs w:val="14"/>
                <w:lang w:eastAsia="lv-LV"/>
              </w:rPr>
              <w:t>Garantijas gadījuma iestāšanās datums</w:t>
            </w:r>
          </w:p>
        </w:tc>
        <w:tc>
          <w:tcPr>
            <w:tcW w:w="1275" w:type="dxa"/>
            <w:shd w:val="clear" w:color="000000" w:fill="C0C0C0"/>
            <w:vAlign w:val="center"/>
            <w:hideMark/>
          </w:tcPr>
          <w:p w14:paraId="3D194ED3" w14:textId="77777777" w:rsidR="00EA1838" w:rsidRPr="00527CF9" w:rsidRDefault="00EA1838" w:rsidP="00C57059">
            <w:pPr>
              <w:jc w:val="center"/>
              <w:rPr>
                <w:rFonts w:ascii="Arial" w:hAnsi="Arial" w:cs="Arial"/>
                <w:b/>
                <w:bCs/>
                <w:sz w:val="14"/>
                <w:szCs w:val="14"/>
                <w:lang w:eastAsia="lv-LV"/>
              </w:rPr>
            </w:pPr>
            <w:r>
              <w:rPr>
                <w:rFonts w:ascii="Arial" w:hAnsi="Arial" w:cs="Arial"/>
                <w:b/>
                <w:bCs/>
                <w:sz w:val="14"/>
                <w:szCs w:val="14"/>
                <w:lang w:eastAsia="lv-LV"/>
              </w:rPr>
              <w:t>Garantijas gadījuma veids</w:t>
            </w:r>
          </w:p>
        </w:tc>
        <w:tc>
          <w:tcPr>
            <w:tcW w:w="1197" w:type="dxa"/>
            <w:shd w:val="clear" w:color="000000" w:fill="C0C0C0"/>
            <w:vAlign w:val="center"/>
            <w:hideMark/>
          </w:tcPr>
          <w:p w14:paraId="0EF1CE58" w14:textId="77777777" w:rsidR="00EA1838" w:rsidRPr="00527CF9" w:rsidRDefault="00EA1838" w:rsidP="00C57059">
            <w:pPr>
              <w:jc w:val="center"/>
              <w:rPr>
                <w:rFonts w:ascii="Arial" w:hAnsi="Arial" w:cs="Arial"/>
                <w:b/>
                <w:bCs/>
                <w:sz w:val="14"/>
                <w:szCs w:val="14"/>
                <w:lang w:eastAsia="lv-LV"/>
              </w:rPr>
            </w:pPr>
            <w:r>
              <w:rPr>
                <w:rFonts w:ascii="Arial" w:hAnsi="Arial" w:cs="Arial"/>
                <w:b/>
                <w:bCs/>
                <w:sz w:val="14"/>
                <w:szCs w:val="14"/>
                <w:lang w:eastAsia="lv-LV"/>
              </w:rPr>
              <w:t xml:space="preserve">Kredīta </w:t>
            </w:r>
            <w:r w:rsidRPr="00527CF9">
              <w:rPr>
                <w:rFonts w:ascii="Arial" w:hAnsi="Arial" w:cs="Arial"/>
                <w:b/>
                <w:bCs/>
                <w:sz w:val="14"/>
                <w:szCs w:val="14"/>
                <w:lang w:eastAsia="lv-LV"/>
              </w:rPr>
              <w:t>pamatsummas atlikumu</w:t>
            </w:r>
          </w:p>
        </w:tc>
        <w:tc>
          <w:tcPr>
            <w:tcW w:w="1215" w:type="dxa"/>
            <w:shd w:val="clear" w:color="000000" w:fill="C0C0C0"/>
          </w:tcPr>
          <w:p w14:paraId="6D85C9B4" w14:textId="77777777" w:rsidR="00EA1838" w:rsidRDefault="00EA1838" w:rsidP="00C57059">
            <w:pPr>
              <w:jc w:val="center"/>
              <w:rPr>
                <w:rFonts w:ascii="Arial" w:hAnsi="Arial" w:cs="Arial"/>
                <w:b/>
                <w:bCs/>
                <w:sz w:val="14"/>
                <w:szCs w:val="14"/>
                <w:lang w:eastAsia="lv-LV"/>
              </w:rPr>
            </w:pPr>
          </w:p>
          <w:p w14:paraId="4097E006" w14:textId="77777777" w:rsidR="00EA1838" w:rsidRDefault="00EA1838" w:rsidP="00C57059">
            <w:pPr>
              <w:jc w:val="center"/>
              <w:rPr>
                <w:rFonts w:ascii="Arial" w:hAnsi="Arial" w:cs="Arial"/>
                <w:b/>
                <w:bCs/>
                <w:sz w:val="14"/>
                <w:szCs w:val="14"/>
                <w:lang w:eastAsia="lv-LV"/>
              </w:rPr>
            </w:pPr>
            <w:r>
              <w:rPr>
                <w:rFonts w:ascii="Arial" w:hAnsi="Arial" w:cs="Arial"/>
                <w:b/>
                <w:bCs/>
                <w:sz w:val="14"/>
                <w:szCs w:val="14"/>
                <w:lang w:eastAsia="lv-LV"/>
              </w:rPr>
              <w:t>Pieprasītā kompensācijas summa</w:t>
            </w:r>
          </w:p>
        </w:tc>
        <w:tc>
          <w:tcPr>
            <w:tcW w:w="1135" w:type="dxa"/>
            <w:shd w:val="clear" w:color="000000" w:fill="C0C0C0"/>
            <w:vAlign w:val="center"/>
            <w:hideMark/>
          </w:tcPr>
          <w:p w14:paraId="1D7A13BC" w14:textId="77777777" w:rsidR="00EA1838" w:rsidRPr="00527CF9" w:rsidRDefault="00EA1838" w:rsidP="00C57059">
            <w:pPr>
              <w:jc w:val="center"/>
              <w:rPr>
                <w:rFonts w:ascii="Arial" w:hAnsi="Arial" w:cs="Arial"/>
                <w:b/>
                <w:bCs/>
                <w:sz w:val="14"/>
                <w:szCs w:val="14"/>
                <w:lang w:eastAsia="lv-LV"/>
              </w:rPr>
            </w:pPr>
            <w:r>
              <w:rPr>
                <w:rFonts w:ascii="Arial" w:hAnsi="Arial" w:cs="Arial"/>
                <w:b/>
                <w:bCs/>
                <w:sz w:val="14"/>
                <w:szCs w:val="14"/>
                <w:lang w:eastAsia="lv-LV"/>
              </w:rPr>
              <w:t>P</w:t>
            </w:r>
            <w:r w:rsidRPr="00527CF9">
              <w:rPr>
                <w:rFonts w:ascii="Arial" w:hAnsi="Arial" w:cs="Arial"/>
                <w:b/>
                <w:bCs/>
                <w:sz w:val="14"/>
                <w:szCs w:val="14"/>
                <w:lang w:eastAsia="lv-LV"/>
              </w:rPr>
              <w:t>rocent</w:t>
            </w:r>
            <w:r>
              <w:rPr>
                <w:rFonts w:ascii="Arial" w:hAnsi="Arial" w:cs="Arial"/>
                <w:b/>
                <w:bCs/>
                <w:sz w:val="14"/>
                <w:szCs w:val="14"/>
                <w:lang w:eastAsia="lv-LV"/>
              </w:rPr>
              <w:t>i</w:t>
            </w:r>
            <w:r w:rsidRPr="00527CF9">
              <w:rPr>
                <w:rFonts w:ascii="Arial" w:hAnsi="Arial" w:cs="Arial"/>
                <w:b/>
                <w:bCs/>
                <w:sz w:val="14"/>
                <w:szCs w:val="14"/>
                <w:lang w:eastAsia="lv-LV"/>
              </w:rPr>
              <w:t xml:space="preserve"> par kredīta izmantošanu</w:t>
            </w:r>
            <w:r>
              <w:rPr>
                <w:rFonts w:ascii="Arial" w:hAnsi="Arial" w:cs="Arial"/>
                <w:b/>
                <w:bCs/>
                <w:sz w:val="14"/>
                <w:szCs w:val="14"/>
                <w:lang w:eastAsia="lv-LV"/>
              </w:rPr>
              <w:t>, ja piemērojams</w:t>
            </w:r>
          </w:p>
        </w:tc>
      </w:tr>
      <w:tr w:rsidR="00EA1838" w:rsidRPr="00527CF9" w14:paraId="4FAF3DF9" w14:textId="77777777" w:rsidTr="00C57059">
        <w:trPr>
          <w:trHeight w:val="225"/>
        </w:trPr>
        <w:tc>
          <w:tcPr>
            <w:tcW w:w="988" w:type="dxa"/>
            <w:shd w:val="clear" w:color="000000" w:fill="FFFFFF"/>
            <w:vAlign w:val="bottom"/>
          </w:tcPr>
          <w:p w14:paraId="7BFA8BBA" w14:textId="77777777" w:rsidR="00EA1838" w:rsidRPr="00527CF9" w:rsidRDefault="00EA1838" w:rsidP="00C57059">
            <w:pPr>
              <w:jc w:val="center"/>
              <w:rPr>
                <w:rFonts w:ascii="Arial" w:hAnsi="Arial" w:cs="Arial"/>
                <w:sz w:val="14"/>
                <w:szCs w:val="14"/>
                <w:lang w:eastAsia="lv-LV"/>
              </w:rPr>
            </w:pPr>
          </w:p>
        </w:tc>
        <w:tc>
          <w:tcPr>
            <w:tcW w:w="1417" w:type="dxa"/>
            <w:shd w:val="clear" w:color="000000" w:fill="FFFFFF"/>
            <w:vAlign w:val="bottom"/>
          </w:tcPr>
          <w:p w14:paraId="55CF6285" w14:textId="77777777" w:rsidR="00EA1838" w:rsidRPr="00527CF9" w:rsidRDefault="00EA1838" w:rsidP="00C57059">
            <w:pPr>
              <w:jc w:val="center"/>
              <w:rPr>
                <w:rFonts w:ascii="Arial" w:hAnsi="Arial" w:cs="Arial"/>
                <w:sz w:val="14"/>
                <w:szCs w:val="14"/>
                <w:lang w:eastAsia="lv-LV"/>
              </w:rPr>
            </w:pPr>
          </w:p>
        </w:tc>
        <w:tc>
          <w:tcPr>
            <w:tcW w:w="1558" w:type="dxa"/>
            <w:shd w:val="clear" w:color="000000" w:fill="FFFFFF"/>
            <w:vAlign w:val="bottom"/>
          </w:tcPr>
          <w:p w14:paraId="10035D37" w14:textId="77777777" w:rsidR="00EA1838" w:rsidRPr="00527CF9" w:rsidRDefault="00EA1838" w:rsidP="00C57059">
            <w:pPr>
              <w:jc w:val="center"/>
              <w:rPr>
                <w:rFonts w:ascii="Arial" w:hAnsi="Arial" w:cs="Arial"/>
                <w:sz w:val="14"/>
                <w:szCs w:val="14"/>
                <w:lang w:eastAsia="lv-LV"/>
              </w:rPr>
            </w:pPr>
          </w:p>
        </w:tc>
        <w:tc>
          <w:tcPr>
            <w:tcW w:w="1275" w:type="dxa"/>
            <w:shd w:val="clear" w:color="000000" w:fill="FFFFFF"/>
            <w:vAlign w:val="bottom"/>
          </w:tcPr>
          <w:p w14:paraId="6C1BB2BC" w14:textId="77777777" w:rsidR="00EA1838" w:rsidRPr="00527CF9" w:rsidRDefault="00EA1838" w:rsidP="00C57059">
            <w:pPr>
              <w:jc w:val="center"/>
              <w:rPr>
                <w:rFonts w:ascii="Arial" w:hAnsi="Arial" w:cs="Arial"/>
                <w:sz w:val="14"/>
                <w:szCs w:val="14"/>
                <w:lang w:eastAsia="lv-LV"/>
              </w:rPr>
            </w:pPr>
          </w:p>
        </w:tc>
        <w:tc>
          <w:tcPr>
            <w:tcW w:w="1197" w:type="dxa"/>
            <w:shd w:val="clear" w:color="000000" w:fill="FFFFFF"/>
            <w:vAlign w:val="bottom"/>
          </w:tcPr>
          <w:p w14:paraId="7DA4D97E" w14:textId="77777777" w:rsidR="00EA1838" w:rsidRPr="00527CF9" w:rsidRDefault="00EA1838" w:rsidP="00C57059">
            <w:pPr>
              <w:jc w:val="center"/>
              <w:rPr>
                <w:rFonts w:ascii="Arial" w:hAnsi="Arial" w:cs="Arial"/>
                <w:sz w:val="14"/>
                <w:szCs w:val="14"/>
                <w:lang w:eastAsia="lv-LV"/>
              </w:rPr>
            </w:pPr>
          </w:p>
        </w:tc>
        <w:tc>
          <w:tcPr>
            <w:tcW w:w="1215" w:type="dxa"/>
            <w:shd w:val="clear" w:color="000000" w:fill="FFFFFF"/>
          </w:tcPr>
          <w:p w14:paraId="3838B913" w14:textId="77777777" w:rsidR="00EA1838" w:rsidRPr="00527CF9" w:rsidRDefault="00EA1838" w:rsidP="00C57059">
            <w:pPr>
              <w:jc w:val="center"/>
              <w:rPr>
                <w:rFonts w:ascii="Arial" w:hAnsi="Arial" w:cs="Arial"/>
                <w:sz w:val="14"/>
                <w:szCs w:val="14"/>
                <w:lang w:eastAsia="lv-LV"/>
              </w:rPr>
            </w:pPr>
          </w:p>
        </w:tc>
        <w:tc>
          <w:tcPr>
            <w:tcW w:w="1135" w:type="dxa"/>
            <w:shd w:val="clear" w:color="000000" w:fill="FFFFFF"/>
            <w:vAlign w:val="bottom"/>
          </w:tcPr>
          <w:p w14:paraId="7320E2F1" w14:textId="77777777" w:rsidR="00EA1838" w:rsidRPr="00527CF9" w:rsidRDefault="00EA1838" w:rsidP="00C57059">
            <w:pPr>
              <w:jc w:val="center"/>
              <w:rPr>
                <w:rFonts w:ascii="Arial" w:hAnsi="Arial" w:cs="Arial"/>
                <w:sz w:val="14"/>
                <w:szCs w:val="14"/>
                <w:lang w:eastAsia="lv-LV"/>
              </w:rPr>
            </w:pPr>
          </w:p>
        </w:tc>
      </w:tr>
      <w:tr w:rsidR="00EA1838" w:rsidRPr="00527CF9" w14:paraId="1F9E87DF" w14:textId="77777777" w:rsidTr="00C57059">
        <w:trPr>
          <w:trHeight w:val="225"/>
        </w:trPr>
        <w:tc>
          <w:tcPr>
            <w:tcW w:w="988" w:type="dxa"/>
            <w:shd w:val="clear" w:color="000000" w:fill="FFFFFF"/>
            <w:vAlign w:val="bottom"/>
          </w:tcPr>
          <w:p w14:paraId="10E94E34" w14:textId="77777777" w:rsidR="00EA1838" w:rsidRPr="00527CF9" w:rsidRDefault="00EA1838" w:rsidP="00C57059">
            <w:pPr>
              <w:jc w:val="center"/>
              <w:rPr>
                <w:rFonts w:ascii="Arial" w:hAnsi="Arial" w:cs="Arial"/>
                <w:sz w:val="14"/>
                <w:szCs w:val="14"/>
                <w:lang w:eastAsia="lv-LV"/>
              </w:rPr>
            </w:pPr>
          </w:p>
        </w:tc>
        <w:tc>
          <w:tcPr>
            <w:tcW w:w="1417" w:type="dxa"/>
            <w:shd w:val="clear" w:color="000000" w:fill="FFFFFF"/>
            <w:vAlign w:val="bottom"/>
          </w:tcPr>
          <w:p w14:paraId="6169E513" w14:textId="77777777" w:rsidR="00EA1838" w:rsidRPr="00527CF9" w:rsidRDefault="00EA1838" w:rsidP="00C57059">
            <w:pPr>
              <w:jc w:val="center"/>
              <w:rPr>
                <w:rFonts w:ascii="Arial" w:hAnsi="Arial" w:cs="Arial"/>
                <w:sz w:val="14"/>
                <w:szCs w:val="14"/>
                <w:lang w:eastAsia="lv-LV"/>
              </w:rPr>
            </w:pPr>
          </w:p>
        </w:tc>
        <w:tc>
          <w:tcPr>
            <w:tcW w:w="1558" w:type="dxa"/>
            <w:shd w:val="clear" w:color="000000" w:fill="FFFFFF"/>
            <w:vAlign w:val="bottom"/>
          </w:tcPr>
          <w:p w14:paraId="3685EEFB" w14:textId="77777777" w:rsidR="00EA1838" w:rsidRPr="00527CF9" w:rsidRDefault="00EA1838" w:rsidP="00C57059">
            <w:pPr>
              <w:jc w:val="center"/>
              <w:rPr>
                <w:rFonts w:ascii="Arial" w:hAnsi="Arial" w:cs="Arial"/>
                <w:sz w:val="14"/>
                <w:szCs w:val="14"/>
                <w:lang w:eastAsia="lv-LV"/>
              </w:rPr>
            </w:pPr>
          </w:p>
        </w:tc>
        <w:tc>
          <w:tcPr>
            <w:tcW w:w="1275" w:type="dxa"/>
            <w:shd w:val="clear" w:color="000000" w:fill="FFFFFF"/>
            <w:vAlign w:val="bottom"/>
          </w:tcPr>
          <w:p w14:paraId="4B2DEE4C" w14:textId="77777777" w:rsidR="00EA1838" w:rsidRPr="00527CF9" w:rsidRDefault="00EA1838" w:rsidP="00C57059">
            <w:pPr>
              <w:jc w:val="center"/>
              <w:rPr>
                <w:rFonts w:ascii="Arial" w:hAnsi="Arial" w:cs="Arial"/>
                <w:sz w:val="14"/>
                <w:szCs w:val="14"/>
                <w:lang w:eastAsia="lv-LV"/>
              </w:rPr>
            </w:pPr>
          </w:p>
        </w:tc>
        <w:tc>
          <w:tcPr>
            <w:tcW w:w="1197" w:type="dxa"/>
            <w:shd w:val="clear" w:color="000000" w:fill="FFFFFF"/>
            <w:vAlign w:val="bottom"/>
          </w:tcPr>
          <w:p w14:paraId="3C1BAEA7" w14:textId="77777777" w:rsidR="00EA1838" w:rsidRPr="00527CF9" w:rsidRDefault="00EA1838" w:rsidP="00C57059">
            <w:pPr>
              <w:jc w:val="center"/>
              <w:rPr>
                <w:rFonts w:ascii="Arial" w:hAnsi="Arial" w:cs="Arial"/>
                <w:sz w:val="14"/>
                <w:szCs w:val="14"/>
                <w:lang w:eastAsia="lv-LV"/>
              </w:rPr>
            </w:pPr>
          </w:p>
        </w:tc>
        <w:tc>
          <w:tcPr>
            <w:tcW w:w="1215" w:type="dxa"/>
            <w:shd w:val="clear" w:color="000000" w:fill="FFFFFF"/>
          </w:tcPr>
          <w:p w14:paraId="0D081CBB" w14:textId="77777777" w:rsidR="00EA1838" w:rsidRPr="00527CF9" w:rsidRDefault="00EA1838" w:rsidP="00C57059">
            <w:pPr>
              <w:jc w:val="center"/>
              <w:rPr>
                <w:rFonts w:ascii="Arial" w:hAnsi="Arial" w:cs="Arial"/>
                <w:sz w:val="14"/>
                <w:szCs w:val="14"/>
                <w:lang w:eastAsia="lv-LV"/>
              </w:rPr>
            </w:pPr>
          </w:p>
        </w:tc>
        <w:tc>
          <w:tcPr>
            <w:tcW w:w="1135" w:type="dxa"/>
            <w:shd w:val="clear" w:color="000000" w:fill="FFFFFF"/>
            <w:vAlign w:val="bottom"/>
          </w:tcPr>
          <w:p w14:paraId="0B42E02B" w14:textId="77777777" w:rsidR="00EA1838" w:rsidRPr="00527CF9" w:rsidRDefault="00EA1838" w:rsidP="00C57059">
            <w:pPr>
              <w:jc w:val="center"/>
              <w:rPr>
                <w:rFonts w:ascii="Arial" w:hAnsi="Arial" w:cs="Arial"/>
                <w:sz w:val="14"/>
                <w:szCs w:val="14"/>
                <w:lang w:eastAsia="lv-LV"/>
              </w:rPr>
            </w:pPr>
          </w:p>
        </w:tc>
      </w:tr>
    </w:tbl>
    <w:p w14:paraId="1FCF3CF9" w14:textId="77777777" w:rsidR="00EA1838" w:rsidRDefault="00EA1838" w:rsidP="00EA1838">
      <w:pPr>
        <w:overflowPunct/>
        <w:autoSpaceDE/>
        <w:autoSpaceDN/>
        <w:adjustRightInd/>
        <w:spacing w:after="160" w:line="259" w:lineRule="auto"/>
        <w:textAlignment w:val="auto"/>
        <w:rPr>
          <w:rFonts w:ascii="Times New Roman" w:hAnsi="Times New Roman"/>
          <w:b/>
          <w:bCs/>
          <w:sz w:val="22"/>
          <w:szCs w:val="22"/>
        </w:rPr>
      </w:pPr>
    </w:p>
    <w:p w14:paraId="6C62D074" w14:textId="77777777" w:rsidR="00EA1838" w:rsidRDefault="00EA1838" w:rsidP="00EA1838">
      <w:pPr>
        <w:overflowPunct/>
        <w:autoSpaceDE/>
        <w:autoSpaceDN/>
        <w:adjustRightInd/>
        <w:spacing w:after="160" w:line="259" w:lineRule="auto"/>
        <w:textAlignment w:val="auto"/>
        <w:rPr>
          <w:rFonts w:ascii="Times New Roman" w:hAnsi="Times New Roman"/>
          <w:b/>
          <w:bCs/>
          <w:sz w:val="22"/>
          <w:szCs w:val="22"/>
        </w:rPr>
      </w:pPr>
    </w:p>
    <w:p w14:paraId="25E3F498" w14:textId="77777777" w:rsidR="00EA1838" w:rsidRPr="008B1101" w:rsidRDefault="00EA1838" w:rsidP="00EA1838">
      <w:pPr>
        <w:pBdr>
          <w:bottom w:val="single" w:sz="12" w:space="1" w:color="00ACC8"/>
        </w:pBdr>
        <w:spacing w:after="60"/>
        <w:rPr>
          <w:rFonts w:ascii="Century Gothic" w:hAnsi="Century Gothic"/>
          <w:b/>
          <w:color w:val="003B85"/>
          <w:sz w:val="2"/>
        </w:rPr>
      </w:pPr>
    </w:p>
    <w:p w14:paraId="352B27D6" w14:textId="77777777" w:rsidR="00EA1838" w:rsidRPr="00162302" w:rsidRDefault="00EA1838" w:rsidP="00EA1838">
      <w:pPr>
        <w:pStyle w:val="ListParagraph"/>
        <w:ind w:left="284" w:hanging="284"/>
        <w:rPr>
          <w:rFonts w:ascii="Century Gothic" w:hAnsi="Century Gothic"/>
          <w:color w:val="2F5496" w:themeColor="accent1" w:themeShade="BF"/>
          <w:sz w:val="16"/>
        </w:rPr>
      </w:pPr>
      <w:r w:rsidRPr="00162302">
        <w:rPr>
          <w:rFonts w:ascii="Century Gothic" w:hAnsi="Century Gothic"/>
          <w:color w:val="2F5496" w:themeColor="accent1" w:themeShade="BF"/>
          <w:sz w:val="16"/>
        </w:rPr>
        <w:t>Iesniedzot pieteikumu, Aizdevējs apliecina, ka:</w:t>
      </w:r>
    </w:p>
    <w:p w14:paraId="53A4148F" w14:textId="77777777" w:rsidR="00EA1838" w:rsidRPr="00162302" w:rsidRDefault="00EA1838" w:rsidP="00EA1838">
      <w:pPr>
        <w:pStyle w:val="ListParagraph"/>
        <w:widowControl w:val="0"/>
        <w:numPr>
          <w:ilvl w:val="0"/>
          <w:numId w:val="20"/>
        </w:numPr>
        <w:overflowPunct/>
        <w:autoSpaceDE/>
        <w:autoSpaceDN/>
        <w:adjustRightInd/>
        <w:ind w:left="284" w:hanging="284"/>
        <w:jc w:val="both"/>
        <w:textAlignment w:val="auto"/>
        <w:rPr>
          <w:rFonts w:ascii="Century Gothic" w:hAnsi="Century Gothic"/>
          <w:color w:val="2F5496" w:themeColor="accent1" w:themeShade="BF"/>
          <w:sz w:val="16"/>
          <w:szCs w:val="16"/>
        </w:rPr>
      </w:pPr>
      <w:r w:rsidRPr="00162302">
        <w:rPr>
          <w:rFonts w:ascii="Century Gothic" w:hAnsi="Century Gothic"/>
          <w:color w:val="2F5496" w:themeColor="accent1" w:themeShade="BF"/>
          <w:sz w:val="16"/>
          <w:szCs w:val="16"/>
        </w:rPr>
        <w:t>ir saņēmis Aizņēmēja piekrišanu savu un citu pieteikumā un citos iesniegtajos dokumentos norādīto personu datu apstrādei, kā arī Aizņēmēja apliecinājumu, ka Aizņēmējs ir ieguvis visas nepieciešamās atļaujas un Aizdevējs ir tiesīgs nodot pieteikumā norādīto personu datus AS „Attīstības finanšu institūcija Altum” ar mērķi saņemt kompensācijas izmaksu atbilstoši Ministru kabineta 2020.gada 21.aprīļa noteikumiem Nr.231 “Noteikumi par studiju un stud</w:t>
      </w:r>
      <w:r w:rsidRPr="00162302">
        <w:rPr>
          <w:rFonts w:ascii="Century Gothic" w:hAnsi="Century Gothic" w:hint="eastAsia"/>
          <w:color w:val="2F5496" w:themeColor="accent1" w:themeShade="BF"/>
          <w:sz w:val="16"/>
          <w:szCs w:val="16"/>
        </w:rPr>
        <w:t>ē</w:t>
      </w:r>
      <w:r w:rsidRPr="00162302">
        <w:rPr>
          <w:rFonts w:ascii="Century Gothic" w:hAnsi="Century Gothic"/>
          <w:color w:val="2F5496" w:themeColor="accent1" w:themeShade="BF"/>
          <w:sz w:val="16"/>
          <w:szCs w:val="16"/>
        </w:rPr>
        <w:t>jošo kredit</w:t>
      </w:r>
      <w:r w:rsidRPr="00162302">
        <w:rPr>
          <w:rFonts w:ascii="Century Gothic" w:hAnsi="Century Gothic" w:hint="eastAsia"/>
          <w:color w:val="2F5496" w:themeColor="accent1" w:themeShade="BF"/>
          <w:sz w:val="16"/>
          <w:szCs w:val="16"/>
        </w:rPr>
        <w:t>ēš</w:t>
      </w:r>
      <w:r w:rsidRPr="00162302">
        <w:rPr>
          <w:rFonts w:ascii="Century Gothic" w:hAnsi="Century Gothic"/>
          <w:color w:val="2F5496" w:themeColor="accent1" w:themeShade="BF"/>
          <w:sz w:val="16"/>
          <w:szCs w:val="16"/>
        </w:rPr>
        <w:t>anu studij</w:t>
      </w:r>
      <w:r w:rsidRPr="00162302">
        <w:rPr>
          <w:rFonts w:ascii="Century Gothic" w:hAnsi="Century Gothic" w:hint="eastAsia"/>
          <w:color w:val="2F5496" w:themeColor="accent1" w:themeShade="BF"/>
          <w:sz w:val="16"/>
          <w:szCs w:val="16"/>
        </w:rPr>
        <w:t>ā</w:t>
      </w:r>
      <w:r w:rsidRPr="00162302">
        <w:rPr>
          <w:rFonts w:ascii="Century Gothic" w:hAnsi="Century Gothic"/>
          <w:color w:val="2F5496" w:themeColor="accent1" w:themeShade="BF"/>
          <w:sz w:val="16"/>
          <w:szCs w:val="16"/>
        </w:rPr>
        <w:t>m Latvij</w:t>
      </w:r>
      <w:r w:rsidRPr="00162302">
        <w:rPr>
          <w:rFonts w:ascii="Century Gothic" w:hAnsi="Century Gothic" w:hint="eastAsia"/>
          <w:color w:val="2F5496" w:themeColor="accent1" w:themeShade="BF"/>
          <w:sz w:val="16"/>
          <w:szCs w:val="16"/>
        </w:rPr>
        <w:t>ā</w:t>
      </w:r>
      <w:r w:rsidRPr="00162302">
        <w:rPr>
          <w:rFonts w:ascii="Century Gothic" w:hAnsi="Century Gothic"/>
          <w:color w:val="2F5496" w:themeColor="accent1" w:themeShade="BF"/>
          <w:sz w:val="16"/>
          <w:szCs w:val="16"/>
        </w:rPr>
        <w:t xml:space="preserve"> no kred</w:t>
      </w:r>
      <w:r w:rsidRPr="00162302">
        <w:rPr>
          <w:rFonts w:ascii="Century Gothic" w:hAnsi="Century Gothic" w:hint="eastAsia"/>
          <w:color w:val="2F5496" w:themeColor="accent1" w:themeShade="BF"/>
          <w:sz w:val="16"/>
          <w:szCs w:val="16"/>
        </w:rPr>
        <w:t>ī</w:t>
      </w:r>
      <w:r w:rsidRPr="00162302">
        <w:rPr>
          <w:rFonts w:ascii="Century Gothic" w:hAnsi="Century Gothic"/>
          <w:color w:val="2F5496" w:themeColor="accent1" w:themeShade="BF"/>
          <w:sz w:val="16"/>
          <w:szCs w:val="16"/>
        </w:rPr>
        <w:t>tiest</w:t>
      </w:r>
      <w:r w:rsidRPr="00162302">
        <w:rPr>
          <w:rFonts w:ascii="Century Gothic" w:hAnsi="Century Gothic" w:hint="eastAsia"/>
          <w:color w:val="2F5496" w:themeColor="accent1" w:themeShade="BF"/>
          <w:sz w:val="16"/>
          <w:szCs w:val="16"/>
        </w:rPr>
        <w:t>āž</w:t>
      </w:r>
      <w:r w:rsidRPr="00162302">
        <w:rPr>
          <w:rFonts w:ascii="Century Gothic" w:hAnsi="Century Gothic"/>
          <w:color w:val="2F5496" w:themeColor="accent1" w:themeShade="BF"/>
          <w:sz w:val="16"/>
          <w:szCs w:val="16"/>
        </w:rPr>
        <w:t>u l</w:t>
      </w:r>
      <w:r w:rsidRPr="00162302">
        <w:rPr>
          <w:rFonts w:ascii="Century Gothic" w:hAnsi="Century Gothic" w:hint="eastAsia"/>
          <w:color w:val="2F5496" w:themeColor="accent1" w:themeShade="BF"/>
          <w:sz w:val="16"/>
          <w:szCs w:val="16"/>
        </w:rPr>
        <w:t>ī</w:t>
      </w:r>
      <w:r w:rsidRPr="00162302">
        <w:rPr>
          <w:rFonts w:ascii="Century Gothic" w:hAnsi="Century Gothic"/>
          <w:color w:val="2F5496" w:themeColor="accent1" w:themeShade="BF"/>
          <w:sz w:val="16"/>
          <w:szCs w:val="16"/>
        </w:rPr>
        <w:t>dzek</w:t>
      </w:r>
      <w:r w:rsidRPr="00162302">
        <w:rPr>
          <w:rFonts w:ascii="Century Gothic" w:hAnsi="Century Gothic" w:hint="eastAsia"/>
          <w:color w:val="2F5496" w:themeColor="accent1" w:themeShade="BF"/>
          <w:sz w:val="16"/>
          <w:szCs w:val="16"/>
        </w:rPr>
        <w:t>ļ</w:t>
      </w:r>
      <w:r w:rsidRPr="00162302">
        <w:rPr>
          <w:rFonts w:ascii="Century Gothic" w:hAnsi="Century Gothic"/>
          <w:color w:val="2F5496" w:themeColor="accent1" w:themeShade="BF"/>
          <w:sz w:val="16"/>
          <w:szCs w:val="16"/>
        </w:rPr>
        <w:t>iem, kas garant</w:t>
      </w:r>
      <w:r w:rsidRPr="00162302">
        <w:rPr>
          <w:rFonts w:ascii="Century Gothic" w:hAnsi="Century Gothic" w:hint="eastAsia"/>
          <w:color w:val="2F5496" w:themeColor="accent1" w:themeShade="BF"/>
          <w:sz w:val="16"/>
          <w:szCs w:val="16"/>
        </w:rPr>
        <w:t>ē</w:t>
      </w:r>
      <w:r w:rsidRPr="00162302">
        <w:rPr>
          <w:rFonts w:ascii="Century Gothic" w:hAnsi="Century Gothic"/>
          <w:color w:val="2F5496" w:themeColor="accent1" w:themeShade="BF"/>
          <w:sz w:val="16"/>
          <w:szCs w:val="16"/>
        </w:rPr>
        <w:t>ti no valsts budžeta l</w:t>
      </w:r>
      <w:r w:rsidRPr="00162302">
        <w:rPr>
          <w:rFonts w:ascii="Century Gothic" w:hAnsi="Century Gothic" w:hint="eastAsia"/>
          <w:color w:val="2F5496" w:themeColor="accent1" w:themeShade="BF"/>
          <w:sz w:val="16"/>
          <w:szCs w:val="16"/>
        </w:rPr>
        <w:t>ī</w:t>
      </w:r>
      <w:r w:rsidRPr="00162302">
        <w:rPr>
          <w:rFonts w:ascii="Century Gothic" w:hAnsi="Century Gothic"/>
          <w:color w:val="2F5496" w:themeColor="accent1" w:themeShade="BF"/>
          <w:sz w:val="16"/>
          <w:szCs w:val="16"/>
        </w:rPr>
        <w:t>dzek</w:t>
      </w:r>
      <w:r w:rsidRPr="00162302">
        <w:rPr>
          <w:rFonts w:ascii="Century Gothic" w:hAnsi="Century Gothic" w:hint="eastAsia"/>
          <w:color w:val="2F5496" w:themeColor="accent1" w:themeShade="BF"/>
          <w:sz w:val="16"/>
          <w:szCs w:val="16"/>
        </w:rPr>
        <w:t>ļ</w:t>
      </w:r>
      <w:r w:rsidRPr="00162302">
        <w:rPr>
          <w:rFonts w:ascii="Century Gothic" w:hAnsi="Century Gothic"/>
          <w:color w:val="2F5496" w:themeColor="accent1" w:themeShade="BF"/>
          <w:sz w:val="16"/>
          <w:szCs w:val="16"/>
        </w:rPr>
        <w:t>iem un starptautisko finanšu instit</w:t>
      </w:r>
      <w:r w:rsidRPr="00162302">
        <w:rPr>
          <w:rFonts w:ascii="Century Gothic" w:hAnsi="Century Gothic" w:hint="eastAsia"/>
          <w:color w:val="2F5496" w:themeColor="accent1" w:themeShade="BF"/>
          <w:sz w:val="16"/>
          <w:szCs w:val="16"/>
        </w:rPr>
        <w:t>ū</w:t>
      </w:r>
      <w:r w:rsidRPr="00162302">
        <w:rPr>
          <w:rFonts w:ascii="Century Gothic" w:hAnsi="Century Gothic"/>
          <w:color w:val="2F5496" w:themeColor="accent1" w:themeShade="BF"/>
          <w:sz w:val="16"/>
          <w:szCs w:val="16"/>
        </w:rPr>
        <w:t>ciju l</w:t>
      </w:r>
      <w:r w:rsidRPr="00162302">
        <w:rPr>
          <w:rFonts w:ascii="Century Gothic" w:hAnsi="Century Gothic" w:hint="eastAsia"/>
          <w:color w:val="2F5496" w:themeColor="accent1" w:themeShade="BF"/>
          <w:sz w:val="16"/>
          <w:szCs w:val="16"/>
        </w:rPr>
        <w:t>ī</w:t>
      </w:r>
      <w:r w:rsidRPr="00162302">
        <w:rPr>
          <w:rFonts w:ascii="Century Gothic" w:hAnsi="Century Gothic"/>
          <w:color w:val="2F5496" w:themeColor="accent1" w:themeShade="BF"/>
          <w:sz w:val="16"/>
          <w:szCs w:val="16"/>
        </w:rPr>
        <w:t>dzek</w:t>
      </w:r>
      <w:r w:rsidRPr="00162302">
        <w:rPr>
          <w:rFonts w:ascii="Century Gothic" w:hAnsi="Century Gothic" w:hint="eastAsia"/>
          <w:color w:val="2F5496" w:themeColor="accent1" w:themeShade="BF"/>
          <w:sz w:val="16"/>
          <w:szCs w:val="16"/>
        </w:rPr>
        <w:t>ļ</w:t>
      </w:r>
      <w:r w:rsidRPr="00162302">
        <w:rPr>
          <w:rFonts w:ascii="Century Gothic" w:hAnsi="Century Gothic"/>
          <w:color w:val="2F5496" w:themeColor="accent1" w:themeShade="BF"/>
          <w:sz w:val="16"/>
          <w:szCs w:val="16"/>
        </w:rPr>
        <w:t>iem”.</w:t>
      </w:r>
    </w:p>
    <w:p w14:paraId="58B5874B" w14:textId="77777777" w:rsidR="00EA1838" w:rsidRPr="008B1101" w:rsidRDefault="00EA1838" w:rsidP="00EA1838">
      <w:pPr>
        <w:rPr>
          <w:rFonts w:ascii="Century Gothic" w:hAnsi="Century Gothic"/>
          <w:color w:val="003B85"/>
          <w:sz w:val="16"/>
        </w:rPr>
      </w:pPr>
    </w:p>
    <w:tbl>
      <w:tblPr>
        <w:tblW w:w="8959"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5529"/>
        <w:gridCol w:w="1871"/>
        <w:gridCol w:w="1559"/>
      </w:tblGrid>
      <w:tr w:rsidR="00EA1838" w:rsidRPr="008B1101" w14:paraId="58573A79" w14:textId="77777777" w:rsidTr="00C57059">
        <w:trPr>
          <w:trHeight w:val="82"/>
        </w:trPr>
        <w:tc>
          <w:tcPr>
            <w:tcW w:w="5529" w:type="dxa"/>
            <w:tcBorders>
              <w:top w:val="single" w:sz="4" w:space="0" w:color="003B85"/>
              <w:left w:val="single" w:sz="4" w:space="0" w:color="003B85"/>
              <w:bottom w:val="single" w:sz="4" w:space="0" w:color="003B85"/>
              <w:right w:val="single" w:sz="4" w:space="0" w:color="003B85"/>
            </w:tcBorders>
            <w:vAlign w:val="center"/>
          </w:tcPr>
          <w:p w14:paraId="47141DD0" w14:textId="77777777" w:rsidR="00EA1838" w:rsidRPr="008B1101" w:rsidRDefault="00EA1838" w:rsidP="00C57059">
            <w:pPr>
              <w:rPr>
                <w:rFonts w:ascii="Century Gothic" w:hAnsi="Century Gothic"/>
                <w:sz w:val="16"/>
              </w:rPr>
            </w:pPr>
          </w:p>
        </w:tc>
        <w:tc>
          <w:tcPr>
            <w:tcW w:w="1871" w:type="dxa"/>
            <w:tcBorders>
              <w:left w:val="single" w:sz="4" w:space="0" w:color="003B85"/>
              <w:right w:val="single" w:sz="4" w:space="0" w:color="003B85"/>
            </w:tcBorders>
            <w:vAlign w:val="center"/>
          </w:tcPr>
          <w:p w14:paraId="69C89F09" w14:textId="77777777" w:rsidR="00EA1838" w:rsidRPr="008B1101" w:rsidRDefault="00EA1838" w:rsidP="00C57059">
            <w:pPr>
              <w:rPr>
                <w:rFonts w:ascii="Century Gothic" w:hAnsi="Century Gothic"/>
                <w:sz w:val="16"/>
              </w:rPr>
            </w:pPr>
          </w:p>
        </w:tc>
        <w:tc>
          <w:tcPr>
            <w:tcW w:w="1559" w:type="dxa"/>
            <w:tcBorders>
              <w:top w:val="single" w:sz="4" w:space="0" w:color="003B85"/>
              <w:left w:val="single" w:sz="4" w:space="0" w:color="003B85"/>
              <w:bottom w:val="single" w:sz="4" w:space="0" w:color="003B85"/>
              <w:right w:val="single" w:sz="4" w:space="0" w:color="003B85"/>
            </w:tcBorders>
            <w:vAlign w:val="center"/>
          </w:tcPr>
          <w:p w14:paraId="5089FA61" w14:textId="77777777" w:rsidR="00EA1838" w:rsidRPr="008B1101" w:rsidRDefault="00EA1838" w:rsidP="00C57059">
            <w:pPr>
              <w:rPr>
                <w:rFonts w:ascii="Century Gothic" w:hAnsi="Century Gothic"/>
                <w:sz w:val="16"/>
              </w:rPr>
            </w:pPr>
          </w:p>
        </w:tc>
      </w:tr>
      <w:tr w:rsidR="00EA1838" w:rsidRPr="00B52095" w14:paraId="3F9E4298" w14:textId="77777777" w:rsidTr="00C57059">
        <w:tc>
          <w:tcPr>
            <w:tcW w:w="5529" w:type="dxa"/>
            <w:tcBorders>
              <w:top w:val="single" w:sz="4" w:space="0" w:color="003B85"/>
            </w:tcBorders>
          </w:tcPr>
          <w:p w14:paraId="256B08A1" w14:textId="77777777" w:rsidR="00EA1838" w:rsidRPr="008B1101" w:rsidRDefault="00EA1838" w:rsidP="00C57059">
            <w:pPr>
              <w:jc w:val="center"/>
              <w:rPr>
                <w:rFonts w:ascii="Century Gothic" w:hAnsi="Century Gothic"/>
                <w:color w:val="808080"/>
                <w:sz w:val="14"/>
                <w:szCs w:val="14"/>
              </w:rPr>
            </w:pPr>
            <w:r w:rsidRPr="008B1101">
              <w:rPr>
                <w:rFonts w:ascii="Century Gothic" w:hAnsi="Century Gothic"/>
                <w:color w:val="808080"/>
                <w:sz w:val="14"/>
                <w:szCs w:val="14"/>
              </w:rPr>
              <w:t>Pieteikuma iesniedzēja vārds, uzvārds, amats</w:t>
            </w:r>
          </w:p>
        </w:tc>
        <w:tc>
          <w:tcPr>
            <w:tcW w:w="1871" w:type="dxa"/>
          </w:tcPr>
          <w:p w14:paraId="1636C5B5" w14:textId="77777777" w:rsidR="00EA1838" w:rsidRPr="008B1101" w:rsidRDefault="00EA1838" w:rsidP="00C57059">
            <w:pPr>
              <w:jc w:val="center"/>
              <w:rPr>
                <w:rFonts w:ascii="Century Gothic" w:hAnsi="Century Gothic"/>
                <w:color w:val="808080"/>
                <w:sz w:val="14"/>
                <w:szCs w:val="14"/>
              </w:rPr>
            </w:pPr>
          </w:p>
        </w:tc>
        <w:tc>
          <w:tcPr>
            <w:tcW w:w="1559" w:type="dxa"/>
            <w:tcBorders>
              <w:top w:val="single" w:sz="4" w:space="0" w:color="003B85"/>
            </w:tcBorders>
          </w:tcPr>
          <w:p w14:paraId="4E4B7397" w14:textId="77777777" w:rsidR="00EA1838" w:rsidRPr="00611B62" w:rsidRDefault="00EA1838" w:rsidP="00C57059">
            <w:pPr>
              <w:jc w:val="center"/>
              <w:rPr>
                <w:rFonts w:ascii="Century Gothic" w:hAnsi="Century Gothic"/>
                <w:color w:val="808080"/>
                <w:sz w:val="14"/>
                <w:szCs w:val="14"/>
              </w:rPr>
            </w:pPr>
            <w:r w:rsidRPr="008B1101">
              <w:rPr>
                <w:rFonts w:ascii="Century Gothic" w:hAnsi="Century Gothic"/>
                <w:color w:val="808080"/>
                <w:sz w:val="14"/>
                <w:szCs w:val="14"/>
              </w:rPr>
              <w:t>Pieteikuma sagatavošanas datums</w:t>
            </w:r>
          </w:p>
        </w:tc>
      </w:tr>
    </w:tbl>
    <w:p w14:paraId="356D99C9" w14:textId="77777777" w:rsidR="00EA1838" w:rsidRPr="00F37B82" w:rsidRDefault="00EA1838" w:rsidP="00EA1838">
      <w:pPr>
        <w:rPr>
          <w:rFonts w:ascii="Century Gothic" w:hAnsi="Century Gothic"/>
          <w:color w:val="003B85"/>
          <w:sz w:val="16"/>
        </w:rPr>
      </w:pPr>
    </w:p>
    <w:p w14:paraId="48B18252" w14:textId="77777777" w:rsidR="00EA1838" w:rsidRPr="00901D53" w:rsidRDefault="00EA1838" w:rsidP="00EA1838">
      <w:pPr>
        <w:overflowPunct/>
        <w:autoSpaceDE/>
        <w:autoSpaceDN/>
        <w:adjustRightInd/>
        <w:spacing w:after="160" w:line="259" w:lineRule="auto"/>
        <w:textAlignment w:val="auto"/>
        <w:rPr>
          <w:rFonts w:ascii="Times New Roman" w:hAnsi="Times New Roman"/>
          <w:b/>
          <w:bCs/>
          <w:sz w:val="22"/>
          <w:szCs w:val="22"/>
        </w:rPr>
      </w:pPr>
    </w:p>
    <w:p w14:paraId="107191FA" w14:textId="5E9A3238" w:rsidR="00EA1838" w:rsidRPr="002D0C92" w:rsidRDefault="00EA1838" w:rsidP="002D0C92">
      <w:pPr>
        <w:overflowPunct/>
        <w:autoSpaceDE/>
        <w:autoSpaceDN/>
        <w:adjustRightInd/>
        <w:spacing w:after="160" w:line="259" w:lineRule="auto"/>
        <w:textAlignment w:val="auto"/>
        <w:rPr>
          <w:rFonts w:ascii="Century Gothic" w:hAnsi="Century Gothic"/>
          <w:color w:val="003B85"/>
          <w:sz w:val="16"/>
        </w:rPr>
      </w:pPr>
    </w:p>
    <w:sectPr w:rsidR="00EA1838" w:rsidRPr="002D0C92" w:rsidSect="00BE407A">
      <w:headerReference w:type="default" r:id="rId11"/>
      <w:footerReference w:type="default" r:id="rId12"/>
      <w:pgSz w:w="11906" w:h="16838"/>
      <w:pgMar w:top="1418" w:right="1247"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CEFD6" w14:textId="77777777" w:rsidR="002F65B2" w:rsidRDefault="002F65B2" w:rsidP="00096BFA">
      <w:r>
        <w:separator/>
      </w:r>
    </w:p>
  </w:endnote>
  <w:endnote w:type="continuationSeparator" w:id="0">
    <w:p w14:paraId="3F817CAC" w14:textId="77777777" w:rsidR="002F65B2" w:rsidRDefault="002F65B2" w:rsidP="00096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imTimes">
    <w:altName w:val="Times New Roman"/>
    <w:charset w:val="BA"/>
    <w:family w:val="roman"/>
    <w:pitch w:val="variable"/>
    <w:sig w:usb0="00000000" w:usb1="80000000" w:usb2="00000008" w:usb3="00000000" w:csb0="000001FF" w:csb1="00000000"/>
  </w:font>
  <w:font w:name="Franklin Gothic Book">
    <w:panose1 w:val="020B0503020102020204"/>
    <w:charset w:val="BA"/>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DokChampa">
    <w:charset w:val="DE"/>
    <w:family w:val="swiss"/>
    <w:pitch w:val="variable"/>
    <w:sig w:usb0="83000003" w:usb1="00000000" w:usb2="00000000" w:usb3="00000000" w:csb0="00010001" w:csb1="00000000"/>
  </w:font>
  <w:font w:name="Century Gothic">
    <w:panose1 w:val="020B0502020202020204"/>
    <w:charset w:val="BA"/>
    <w:family w:val="swiss"/>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98834" w14:textId="77777777" w:rsidR="005E44CC" w:rsidRPr="00EA652E" w:rsidRDefault="005E44CC" w:rsidP="008B146A">
    <w:pPr>
      <w:pStyle w:val="Footer"/>
      <w:jc w:val="center"/>
      <w:rPr>
        <w:rFonts w:ascii="Franklin Gothic Book" w:hAnsi="Franklin Gothic Book"/>
      </w:rPr>
    </w:pPr>
    <w:r w:rsidRPr="00EA652E">
      <w:rPr>
        <w:rFonts w:ascii="Franklin Gothic Book" w:hAnsi="Franklin Gothic Book"/>
      </w:rPr>
      <w:fldChar w:fldCharType="begin"/>
    </w:r>
    <w:r w:rsidRPr="00EA652E">
      <w:rPr>
        <w:rFonts w:ascii="Franklin Gothic Book" w:hAnsi="Franklin Gothic Book"/>
      </w:rPr>
      <w:instrText xml:space="preserve"> PAGE   \* MERGEFORMAT </w:instrText>
    </w:r>
    <w:r w:rsidRPr="00EA652E">
      <w:rPr>
        <w:rFonts w:ascii="Franklin Gothic Book" w:hAnsi="Franklin Gothic Book"/>
      </w:rPr>
      <w:fldChar w:fldCharType="separate"/>
    </w:r>
    <w:r>
      <w:rPr>
        <w:rFonts w:ascii="Franklin Gothic Book" w:hAnsi="Franklin Gothic Book"/>
        <w:noProof/>
      </w:rPr>
      <w:t>15</w:t>
    </w:r>
    <w:r w:rsidRPr="00EA652E">
      <w:rPr>
        <w:rFonts w:ascii="Franklin Gothic Book" w:hAnsi="Franklin Gothic Book"/>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4DF97" w14:textId="77777777" w:rsidR="002F65B2" w:rsidRDefault="002F65B2" w:rsidP="00096BFA">
      <w:r>
        <w:separator/>
      </w:r>
    </w:p>
  </w:footnote>
  <w:footnote w:type="continuationSeparator" w:id="0">
    <w:p w14:paraId="4DE3DBE6" w14:textId="77777777" w:rsidR="002F65B2" w:rsidRDefault="002F65B2" w:rsidP="00096BFA">
      <w:r>
        <w:continuationSeparator/>
      </w:r>
    </w:p>
  </w:footnote>
  <w:footnote w:id="1">
    <w:p w14:paraId="3517EBB4" w14:textId="77777777" w:rsidR="00EA1838" w:rsidRDefault="00EA1838" w:rsidP="00EA1838">
      <w:pPr>
        <w:pStyle w:val="FootnoteText"/>
        <w:jc w:val="both"/>
        <w:rPr>
          <w:rFonts w:eastAsia="Calibri"/>
        </w:rPr>
      </w:pPr>
      <w:r>
        <w:rPr>
          <w:rStyle w:val="FootnoteReference"/>
        </w:rPr>
        <w:footnoteRef/>
      </w:r>
      <w:r>
        <w:t xml:space="preserve"> MK noteikumu 31.punkts: </w:t>
      </w:r>
      <w:r>
        <w:rPr>
          <w:i/>
          <w:iCs/>
        </w:rPr>
        <w:t>31. Kredītu procentu likme ir mainīga. Likmi veido fiksētā daļa, kas nepārsniedz 3,5 % gadā, un mainīgā daļa EURIBOR vai tai līdzvērtīgs finanšu naudas tirgus indekss. Ja procentu likmes mainīgā daļa ir ar negatīvu vērtību, tad procentu likmes apmērs ir vienāds ar procentu likmes fiksēto daļu.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F93B5" w14:textId="5F533FED" w:rsidR="005E44CC" w:rsidRPr="00CB7368" w:rsidRDefault="005E44CC" w:rsidP="00CB7368">
    <w:pPr>
      <w:pStyle w:val="Header"/>
      <w:jc w:val="right"/>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1707A"/>
    <w:multiLevelType w:val="hybridMultilevel"/>
    <w:tmpl w:val="6D802080"/>
    <w:lvl w:ilvl="0" w:tplc="0426000F">
      <w:start w:val="1"/>
      <w:numFmt w:val="decimal"/>
      <w:lvlText w:val="%1."/>
      <w:lvlJc w:val="left"/>
      <w:pPr>
        <w:ind w:left="1800" w:hanging="360"/>
      </w:p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1" w15:restartNumberingAfterBreak="0">
    <w:nsid w:val="0A4D6192"/>
    <w:multiLevelType w:val="multilevel"/>
    <w:tmpl w:val="F1447B30"/>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11D25AB9"/>
    <w:multiLevelType w:val="hybridMultilevel"/>
    <w:tmpl w:val="B23ADFF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8221519"/>
    <w:multiLevelType w:val="multilevel"/>
    <w:tmpl w:val="20F6DBE6"/>
    <w:lvl w:ilvl="0">
      <w:start w:val="4"/>
      <w:numFmt w:val="decimal"/>
      <w:lvlText w:val="%1"/>
      <w:lvlJc w:val="left"/>
      <w:pPr>
        <w:ind w:left="360" w:hanging="360"/>
      </w:pPr>
      <w:rPr>
        <w:rFonts w:hint="default"/>
      </w:rPr>
    </w:lvl>
    <w:lvl w:ilvl="1">
      <w:start w:val="3"/>
      <w:numFmt w:val="decimal"/>
      <w:pStyle w:val="Heading1"/>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BA7158C"/>
    <w:multiLevelType w:val="multilevel"/>
    <w:tmpl w:val="F23A3266"/>
    <w:lvl w:ilvl="0">
      <w:start w:val="1"/>
      <w:numFmt w:val="decimal"/>
      <w:lvlText w:val="%1."/>
      <w:lvlJc w:val="left"/>
      <w:pPr>
        <w:ind w:left="720" w:hanging="360"/>
      </w:pPr>
      <w:rPr>
        <w:rFonts w:hint="default"/>
      </w:rPr>
    </w:lvl>
    <w:lvl w:ilvl="1">
      <w:start w:val="1"/>
      <w:numFmt w:val="decimal"/>
      <w:pStyle w:val="BodyText"/>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4832"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D591B58"/>
    <w:multiLevelType w:val="multilevel"/>
    <w:tmpl w:val="A9EE9A78"/>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965" w:hanging="405"/>
      </w:pPr>
      <w:rPr>
        <w:rFonts w:hint="default"/>
      </w:rPr>
    </w:lvl>
    <w:lvl w:ilvl="2">
      <w:start w:val="1"/>
      <w:numFmt w:val="decimal"/>
      <w:isLgl/>
      <w:lvlText w:val="%1.%2.%3."/>
      <w:lvlJc w:val="left"/>
      <w:pPr>
        <w:ind w:left="1080" w:hanging="720"/>
      </w:pPr>
      <w:rPr>
        <w:rFonts w:ascii="Times New Roman" w:hAnsi="Times New Roman" w:cs="Times New Roman" w:hint="default"/>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E3C2AA8"/>
    <w:multiLevelType w:val="multilevel"/>
    <w:tmpl w:val="01C8C344"/>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0824823"/>
    <w:multiLevelType w:val="hybridMultilevel"/>
    <w:tmpl w:val="23EEC00C"/>
    <w:lvl w:ilvl="0" w:tplc="CE82F43C">
      <w:start w:val="1"/>
      <w:numFmt w:val="lowerLetter"/>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8" w15:restartNumberingAfterBreak="0">
    <w:nsid w:val="24B74A7A"/>
    <w:multiLevelType w:val="hybridMultilevel"/>
    <w:tmpl w:val="A582DDF4"/>
    <w:lvl w:ilvl="0" w:tplc="ECAC364E">
      <w:numFmt w:val="bullet"/>
      <w:lvlText w:val="-"/>
      <w:lvlJc w:val="left"/>
      <w:pPr>
        <w:ind w:left="720" w:hanging="360"/>
      </w:pPr>
      <w:rPr>
        <w:rFonts w:ascii="Calibri" w:eastAsia="Times New Roman" w:hAnsi="Calibri"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2F8A6C20"/>
    <w:multiLevelType w:val="hybridMultilevel"/>
    <w:tmpl w:val="D9B4583A"/>
    <w:lvl w:ilvl="0" w:tplc="21CE51EA">
      <w:numFmt w:val="bullet"/>
      <w:lvlText w:val="-"/>
      <w:lvlJc w:val="left"/>
      <w:pPr>
        <w:ind w:left="720" w:hanging="360"/>
      </w:pPr>
      <w:rPr>
        <w:rFonts w:ascii="RimTimes" w:eastAsia="Times New Roman" w:hAnsi="RimTimes" w:cs="RimTime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32897C73"/>
    <w:multiLevelType w:val="multilevel"/>
    <w:tmpl w:val="52B8B99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44627CE"/>
    <w:multiLevelType w:val="hybridMultilevel"/>
    <w:tmpl w:val="1C2E6940"/>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2" w15:restartNumberingAfterBreak="0">
    <w:nsid w:val="3C387388"/>
    <w:multiLevelType w:val="hybridMultilevel"/>
    <w:tmpl w:val="CE2AA69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4311243E"/>
    <w:multiLevelType w:val="multilevel"/>
    <w:tmpl w:val="15DE2A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7875806"/>
    <w:multiLevelType w:val="hybridMultilevel"/>
    <w:tmpl w:val="5A2CD33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2331B5E"/>
    <w:multiLevelType w:val="hybridMultilevel"/>
    <w:tmpl w:val="C34A7166"/>
    <w:lvl w:ilvl="0" w:tplc="FA402FB0">
      <w:start w:val="1"/>
      <w:numFmt w:val="bullet"/>
      <w:lvlText w:val="-"/>
      <w:lvlJc w:val="left"/>
      <w:pPr>
        <w:ind w:left="420" w:hanging="360"/>
      </w:pPr>
      <w:rPr>
        <w:rFonts w:ascii="Franklin Gothic Book" w:eastAsiaTheme="minorHAnsi" w:hAnsi="Franklin Gothic Book" w:cstheme="minorBidi" w:hint="default"/>
      </w:rPr>
    </w:lvl>
    <w:lvl w:ilvl="1" w:tplc="04260003">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16" w15:restartNumberingAfterBreak="0">
    <w:nsid w:val="642238BB"/>
    <w:multiLevelType w:val="hybridMultilevel"/>
    <w:tmpl w:val="0DF4ADE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664822FA"/>
    <w:multiLevelType w:val="hybridMultilevel"/>
    <w:tmpl w:val="16AC24CE"/>
    <w:lvl w:ilvl="0" w:tplc="97DEAE66">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8" w15:restartNumberingAfterBreak="0">
    <w:nsid w:val="6F2D63B5"/>
    <w:multiLevelType w:val="hybridMultilevel"/>
    <w:tmpl w:val="C25AACE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16cid:durableId="17063715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7237103">
    <w:abstractNumId w:val="5"/>
  </w:num>
  <w:num w:numId="3" w16cid:durableId="1766924176">
    <w:abstractNumId w:val="10"/>
  </w:num>
  <w:num w:numId="4" w16cid:durableId="1234005589">
    <w:abstractNumId w:val="6"/>
  </w:num>
  <w:num w:numId="5" w16cid:durableId="2085637468">
    <w:abstractNumId w:val="3"/>
  </w:num>
  <w:num w:numId="6" w16cid:durableId="923993679">
    <w:abstractNumId w:val="18"/>
  </w:num>
  <w:num w:numId="7" w16cid:durableId="1723211521">
    <w:abstractNumId w:val="0"/>
  </w:num>
  <w:num w:numId="8" w16cid:durableId="8308732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108486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19489771">
    <w:abstractNumId w:val="2"/>
  </w:num>
  <w:num w:numId="11" w16cid:durableId="1601375708">
    <w:abstractNumId w:val="8"/>
  </w:num>
  <w:num w:numId="12" w16cid:durableId="1862744241">
    <w:abstractNumId w:val="15"/>
  </w:num>
  <w:num w:numId="13" w16cid:durableId="4516364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90362396">
    <w:abstractNumId w:val="4"/>
  </w:num>
  <w:num w:numId="15" w16cid:durableId="2094811517">
    <w:abstractNumId w:val="1"/>
  </w:num>
  <w:num w:numId="16" w16cid:durableId="171384454">
    <w:abstractNumId w:val="14"/>
  </w:num>
  <w:num w:numId="17" w16cid:durableId="1429081981">
    <w:abstractNumId w:val="4"/>
  </w:num>
  <w:num w:numId="18" w16cid:durableId="1152986794">
    <w:abstractNumId w:val="4"/>
  </w:num>
  <w:num w:numId="19" w16cid:durableId="1924290819">
    <w:abstractNumId w:val="13"/>
  </w:num>
  <w:num w:numId="20" w16cid:durableId="326176459">
    <w:abstractNumId w:val="16"/>
  </w:num>
  <w:num w:numId="21" w16cid:durableId="942420088">
    <w:abstractNumId w:val="17"/>
  </w:num>
  <w:num w:numId="22" w16cid:durableId="1040276797">
    <w:abstractNumId w:val="9"/>
  </w:num>
  <w:num w:numId="23" w16cid:durableId="9605018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965307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692628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66066183">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BFA"/>
    <w:rsid w:val="000042B1"/>
    <w:rsid w:val="00005861"/>
    <w:rsid w:val="00006052"/>
    <w:rsid w:val="000063AB"/>
    <w:rsid w:val="000106ED"/>
    <w:rsid w:val="0001331E"/>
    <w:rsid w:val="0001435D"/>
    <w:rsid w:val="000203DE"/>
    <w:rsid w:val="00020A16"/>
    <w:rsid w:val="00021ACB"/>
    <w:rsid w:val="00022664"/>
    <w:rsid w:val="0002438A"/>
    <w:rsid w:val="00024583"/>
    <w:rsid w:val="0002605E"/>
    <w:rsid w:val="0003079A"/>
    <w:rsid w:val="00031038"/>
    <w:rsid w:val="00031F5B"/>
    <w:rsid w:val="00033584"/>
    <w:rsid w:val="00033B67"/>
    <w:rsid w:val="000345FC"/>
    <w:rsid w:val="00034F77"/>
    <w:rsid w:val="00035067"/>
    <w:rsid w:val="0004010B"/>
    <w:rsid w:val="00045169"/>
    <w:rsid w:val="00045DE5"/>
    <w:rsid w:val="0004791D"/>
    <w:rsid w:val="000479E5"/>
    <w:rsid w:val="00050EB2"/>
    <w:rsid w:val="0005165E"/>
    <w:rsid w:val="0005173C"/>
    <w:rsid w:val="00053831"/>
    <w:rsid w:val="00054987"/>
    <w:rsid w:val="00055AE8"/>
    <w:rsid w:val="0005691B"/>
    <w:rsid w:val="00060C16"/>
    <w:rsid w:val="00061AD6"/>
    <w:rsid w:val="0006255A"/>
    <w:rsid w:val="00064A52"/>
    <w:rsid w:val="00064AA1"/>
    <w:rsid w:val="00070C67"/>
    <w:rsid w:val="000727B5"/>
    <w:rsid w:val="00072EBA"/>
    <w:rsid w:val="000746CF"/>
    <w:rsid w:val="0007682E"/>
    <w:rsid w:val="000825BD"/>
    <w:rsid w:val="00082756"/>
    <w:rsid w:val="00084B32"/>
    <w:rsid w:val="00086451"/>
    <w:rsid w:val="00086B54"/>
    <w:rsid w:val="00093403"/>
    <w:rsid w:val="00093860"/>
    <w:rsid w:val="000944A7"/>
    <w:rsid w:val="00094585"/>
    <w:rsid w:val="00094674"/>
    <w:rsid w:val="00096BFA"/>
    <w:rsid w:val="0009763E"/>
    <w:rsid w:val="000A11C6"/>
    <w:rsid w:val="000A660B"/>
    <w:rsid w:val="000A78E1"/>
    <w:rsid w:val="000A7B13"/>
    <w:rsid w:val="000B1A36"/>
    <w:rsid w:val="000B42E1"/>
    <w:rsid w:val="000B4BC9"/>
    <w:rsid w:val="000C2A96"/>
    <w:rsid w:val="000D220B"/>
    <w:rsid w:val="000D6BFE"/>
    <w:rsid w:val="000E0315"/>
    <w:rsid w:val="000E47AC"/>
    <w:rsid w:val="000E51E2"/>
    <w:rsid w:val="000E7342"/>
    <w:rsid w:val="000F10D4"/>
    <w:rsid w:val="000F1A1C"/>
    <w:rsid w:val="000F2936"/>
    <w:rsid w:val="000F2B28"/>
    <w:rsid w:val="000F36FE"/>
    <w:rsid w:val="000F6F2F"/>
    <w:rsid w:val="00100726"/>
    <w:rsid w:val="00104E45"/>
    <w:rsid w:val="00106E9B"/>
    <w:rsid w:val="00113361"/>
    <w:rsid w:val="00120C38"/>
    <w:rsid w:val="0012403C"/>
    <w:rsid w:val="001246DB"/>
    <w:rsid w:val="0012532D"/>
    <w:rsid w:val="00125AB4"/>
    <w:rsid w:val="00130AFE"/>
    <w:rsid w:val="00131B79"/>
    <w:rsid w:val="00132CF3"/>
    <w:rsid w:val="0013415E"/>
    <w:rsid w:val="00134D82"/>
    <w:rsid w:val="00140C34"/>
    <w:rsid w:val="00140F0F"/>
    <w:rsid w:val="00145A54"/>
    <w:rsid w:val="001602B2"/>
    <w:rsid w:val="001603E3"/>
    <w:rsid w:val="001613B6"/>
    <w:rsid w:val="0016560F"/>
    <w:rsid w:val="00166080"/>
    <w:rsid w:val="0017053D"/>
    <w:rsid w:val="001725E0"/>
    <w:rsid w:val="00172646"/>
    <w:rsid w:val="00176DFB"/>
    <w:rsid w:val="00177FC1"/>
    <w:rsid w:val="00185ACD"/>
    <w:rsid w:val="00187D9C"/>
    <w:rsid w:val="001937F8"/>
    <w:rsid w:val="001950B7"/>
    <w:rsid w:val="001969AF"/>
    <w:rsid w:val="001970B4"/>
    <w:rsid w:val="001A0640"/>
    <w:rsid w:val="001A1787"/>
    <w:rsid w:val="001A1D14"/>
    <w:rsid w:val="001A3A96"/>
    <w:rsid w:val="001A5DB5"/>
    <w:rsid w:val="001A760F"/>
    <w:rsid w:val="001A7D72"/>
    <w:rsid w:val="001B0054"/>
    <w:rsid w:val="001B1704"/>
    <w:rsid w:val="001B1D00"/>
    <w:rsid w:val="001B299C"/>
    <w:rsid w:val="001B6879"/>
    <w:rsid w:val="001B78EB"/>
    <w:rsid w:val="001C1A9D"/>
    <w:rsid w:val="001C2114"/>
    <w:rsid w:val="001C3551"/>
    <w:rsid w:val="001C3DC4"/>
    <w:rsid w:val="001C42C8"/>
    <w:rsid w:val="001C69BF"/>
    <w:rsid w:val="001D13A3"/>
    <w:rsid w:val="001D3894"/>
    <w:rsid w:val="001D4581"/>
    <w:rsid w:val="001D5B9B"/>
    <w:rsid w:val="001D7060"/>
    <w:rsid w:val="001D7502"/>
    <w:rsid w:val="001E472A"/>
    <w:rsid w:val="001F045A"/>
    <w:rsid w:val="001F6DA2"/>
    <w:rsid w:val="00200830"/>
    <w:rsid w:val="00202ABA"/>
    <w:rsid w:val="00204FCA"/>
    <w:rsid w:val="00205C8A"/>
    <w:rsid w:val="002068E2"/>
    <w:rsid w:val="002076EF"/>
    <w:rsid w:val="0021221B"/>
    <w:rsid w:val="00214019"/>
    <w:rsid w:val="00217A51"/>
    <w:rsid w:val="00222862"/>
    <w:rsid w:val="00232912"/>
    <w:rsid w:val="00243F0E"/>
    <w:rsid w:val="00244D91"/>
    <w:rsid w:val="00252887"/>
    <w:rsid w:val="00255877"/>
    <w:rsid w:val="00255DC4"/>
    <w:rsid w:val="00260E7D"/>
    <w:rsid w:val="002612E5"/>
    <w:rsid w:val="00262FFB"/>
    <w:rsid w:val="002646EB"/>
    <w:rsid w:val="00266487"/>
    <w:rsid w:val="00266565"/>
    <w:rsid w:val="002674B1"/>
    <w:rsid w:val="002712AF"/>
    <w:rsid w:val="002715D0"/>
    <w:rsid w:val="002717A6"/>
    <w:rsid w:val="002742D2"/>
    <w:rsid w:val="00276537"/>
    <w:rsid w:val="00277B48"/>
    <w:rsid w:val="0028070D"/>
    <w:rsid w:val="00284806"/>
    <w:rsid w:val="00286CF6"/>
    <w:rsid w:val="00287E16"/>
    <w:rsid w:val="00287E8E"/>
    <w:rsid w:val="002903BA"/>
    <w:rsid w:val="0029283A"/>
    <w:rsid w:val="00292E2D"/>
    <w:rsid w:val="002933A6"/>
    <w:rsid w:val="002948CC"/>
    <w:rsid w:val="0029648C"/>
    <w:rsid w:val="00296C1D"/>
    <w:rsid w:val="00296C5D"/>
    <w:rsid w:val="002A0487"/>
    <w:rsid w:val="002A0821"/>
    <w:rsid w:val="002A0AD2"/>
    <w:rsid w:val="002A2B0D"/>
    <w:rsid w:val="002A2CAE"/>
    <w:rsid w:val="002A2E77"/>
    <w:rsid w:val="002A34C4"/>
    <w:rsid w:val="002A6A1B"/>
    <w:rsid w:val="002B0143"/>
    <w:rsid w:val="002B097E"/>
    <w:rsid w:val="002B09F7"/>
    <w:rsid w:val="002B3A3B"/>
    <w:rsid w:val="002B3B4F"/>
    <w:rsid w:val="002B4716"/>
    <w:rsid w:val="002B7934"/>
    <w:rsid w:val="002C0646"/>
    <w:rsid w:val="002C28D5"/>
    <w:rsid w:val="002D0C92"/>
    <w:rsid w:val="002D1E32"/>
    <w:rsid w:val="002D41B4"/>
    <w:rsid w:val="002D68FF"/>
    <w:rsid w:val="002D7D66"/>
    <w:rsid w:val="002E166C"/>
    <w:rsid w:val="002E1882"/>
    <w:rsid w:val="002E1DE1"/>
    <w:rsid w:val="002E3353"/>
    <w:rsid w:val="002E67A0"/>
    <w:rsid w:val="002E7653"/>
    <w:rsid w:val="002E7C5F"/>
    <w:rsid w:val="002F56C7"/>
    <w:rsid w:val="002F65B2"/>
    <w:rsid w:val="003075CB"/>
    <w:rsid w:val="003076A2"/>
    <w:rsid w:val="0031092F"/>
    <w:rsid w:val="00312476"/>
    <w:rsid w:val="00314B41"/>
    <w:rsid w:val="003207F2"/>
    <w:rsid w:val="0032359A"/>
    <w:rsid w:val="0032385B"/>
    <w:rsid w:val="003247C4"/>
    <w:rsid w:val="003332F0"/>
    <w:rsid w:val="00336F38"/>
    <w:rsid w:val="003376AB"/>
    <w:rsid w:val="0034055F"/>
    <w:rsid w:val="003440FF"/>
    <w:rsid w:val="0034584B"/>
    <w:rsid w:val="00345970"/>
    <w:rsid w:val="00346A96"/>
    <w:rsid w:val="0035302B"/>
    <w:rsid w:val="003540E0"/>
    <w:rsid w:val="003542B1"/>
    <w:rsid w:val="00354DBB"/>
    <w:rsid w:val="00356F41"/>
    <w:rsid w:val="00357622"/>
    <w:rsid w:val="00364E9C"/>
    <w:rsid w:val="003653B6"/>
    <w:rsid w:val="00365453"/>
    <w:rsid w:val="00370EC4"/>
    <w:rsid w:val="003734FA"/>
    <w:rsid w:val="00374913"/>
    <w:rsid w:val="003774A9"/>
    <w:rsid w:val="00377D9A"/>
    <w:rsid w:val="003836AF"/>
    <w:rsid w:val="0038438D"/>
    <w:rsid w:val="00393BD9"/>
    <w:rsid w:val="00395588"/>
    <w:rsid w:val="00396AC7"/>
    <w:rsid w:val="003A0AAD"/>
    <w:rsid w:val="003A0FD7"/>
    <w:rsid w:val="003A17A1"/>
    <w:rsid w:val="003A3233"/>
    <w:rsid w:val="003A3C1C"/>
    <w:rsid w:val="003A4ABA"/>
    <w:rsid w:val="003A4D5B"/>
    <w:rsid w:val="003A79DE"/>
    <w:rsid w:val="003B0AF8"/>
    <w:rsid w:val="003B1E87"/>
    <w:rsid w:val="003B2168"/>
    <w:rsid w:val="003B237B"/>
    <w:rsid w:val="003B4904"/>
    <w:rsid w:val="003B4C6B"/>
    <w:rsid w:val="003B71C7"/>
    <w:rsid w:val="003C182B"/>
    <w:rsid w:val="003C2935"/>
    <w:rsid w:val="003C2B0D"/>
    <w:rsid w:val="003C2ECC"/>
    <w:rsid w:val="003D1C3E"/>
    <w:rsid w:val="003D32F6"/>
    <w:rsid w:val="003D4850"/>
    <w:rsid w:val="003E02B8"/>
    <w:rsid w:val="003E087B"/>
    <w:rsid w:val="003E29BF"/>
    <w:rsid w:val="003E4865"/>
    <w:rsid w:val="003E6874"/>
    <w:rsid w:val="003F02DA"/>
    <w:rsid w:val="003F09D5"/>
    <w:rsid w:val="003F1521"/>
    <w:rsid w:val="003F237C"/>
    <w:rsid w:val="003F413A"/>
    <w:rsid w:val="00401DCD"/>
    <w:rsid w:val="004058EF"/>
    <w:rsid w:val="00411986"/>
    <w:rsid w:val="004141AD"/>
    <w:rsid w:val="004169A0"/>
    <w:rsid w:val="00420C4D"/>
    <w:rsid w:val="004231D8"/>
    <w:rsid w:val="00423802"/>
    <w:rsid w:val="004250B4"/>
    <w:rsid w:val="00425556"/>
    <w:rsid w:val="00425BD7"/>
    <w:rsid w:val="004261F6"/>
    <w:rsid w:val="00426AED"/>
    <w:rsid w:val="00426EE2"/>
    <w:rsid w:val="00427BFD"/>
    <w:rsid w:val="00434B6D"/>
    <w:rsid w:val="004404CB"/>
    <w:rsid w:val="0044149A"/>
    <w:rsid w:val="00444896"/>
    <w:rsid w:val="00444AE7"/>
    <w:rsid w:val="004452F4"/>
    <w:rsid w:val="00446A45"/>
    <w:rsid w:val="00450D3D"/>
    <w:rsid w:val="00451393"/>
    <w:rsid w:val="00451A79"/>
    <w:rsid w:val="00452799"/>
    <w:rsid w:val="00452FE0"/>
    <w:rsid w:val="0045658F"/>
    <w:rsid w:val="0046142B"/>
    <w:rsid w:val="00463370"/>
    <w:rsid w:val="00464B59"/>
    <w:rsid w:val="00465902"/>
    <w:rsid w:val="00476000"/>
    <w:rsid w:val="004811AC"/>
    <w:rsid w:val="00484B8A"/>
    <w:rsid w:val="00485219"/>
    <w:rsid w:val="0049153A"/>
    <w:rsid w:val="00492419"/>
    <w:rsid w:val="00497BAB"/>
    <w:rsid w:val="004A60D8"/>
    <w:rsid w:val="004B06D1"/>
    <w:rsid w:val="004B1D07"/>
    <w:rsid w:val="004B38EF"/>
    <w:rsid w:val="004B6528"/>
    <w:rsid w:val="004B6803"/>
    <w:rsid w:val="004B6A5B"/>
    <w:rsid w:val="004B742E"/>
    <w:rsid w:val="004C1625"/>
    <w:rsid w:val="004C1F94"/>
    <w:rsid w:val="004C4869"/>
    <w:rsid w:val="004C4996"/>
    <w:rsid w:val="004D2A10"/>
    <w:rsid w:val="004D2A14"/>
    <w:rsid w:val="004D2A56"/>
    <w:rsid w:val="004D3A5E"/>
    <w:rsid w:val="004D4F20"/>
    <w:rsid w:val="004E1A64"/>
    <w:rsid w:val="004E63A2"/>
    <w:rsid w:val="004F3007"/>
    <w:rsid w:val="004F40A7"/>
    <w:rsid w:val="004F4984"/>
    <w:rsid w:val="005024F3"/>
    <w:rsid w:val="00502664"/>
    <w:rsid w:val="005034ED"/>
    <w:rsid w:val="0050410E"/>
    <w:rsid w:val="005043DD"/>
    <w:rsid w:val="0050599E"/>
    <w:rsid w:val="00510A61"/>
    <w:rsid w:val="00512256"/>
    <w:rsid w:val="005164EE"/>
    <w:rsid w:val="00516512"/>
    <w:rsid w:val="005226AB"/>
    <w:rsid w:val="0052473D"/>
    <w:rsid w:val="0052559F"/>
    <w:rsid w:val="0052645C"/>
    <w:rsid w:val="0052651A"/>
    <w:rsid w:val="00526C93"/>
    <w:rsid w:val="005318FB"/>
    <w:rsid w:val="0053229F"/>
    <w:rsid w:val="0053481B"/>
    <w:rsid w:val="00537036"/>
    <w:rsid w:val="00537E4B"/>
    <w:rsid w:val="005414D9"/>
    <w:rsid w:val="0055322D"/>
    <w:rsid w:val="00555A70"/>
    <w:rsid w:val="00560CE5"/>
    <w:rsid w:val="005660C6"/>
    <w:rsid w:val="00567A5D"/>
    <w:rsid w:val="005724E8"/>
    <w:rsid w:val="00572D75"/>
    <w:rsid w:val="005801A6"/>
    <w:rsid w:val="0058515F"/>
    <w:rsid w:val="00586D39"/>
    <w:rsid w:val="00590B95"/>
    <w:rsid w:val="00592DE9"/>
    <w:rsid w:val="005A09A4"/>
    <w:rsid w:val="005A4523"/>
    <w:rsid w:val="005A7068"/>
    <w:rsid w:val="005A70FF"/>
    <w:rsid w:val="005A76D6"/>
    <w:rsid w:val="005B0CA2"/>
    <w:rsid w:val="005B2E3A"/>
    <w:rsid w:val="005B4856"/>
    <w:rsid w:val="005B512B"/>
    <w:rsid w:val="005B5BE6"/>
    <w:rsid w:val="005B767E"/>
    <w:rsid w:val="005C01A8"/>
    <w:rsid w:val="005C04F9"/>
    <w:rsid w:val="005C0EF9"/>
    <w:rsid w:val="005C24F7"/>
    <w:rsid w:val="005C25B7"/>
    <w:rsid w:val="005C360D"/>
    <w:rsid w:val="005C63B9"/>
    <w:rsid w:val="005D5E1C"/>
    <w:rsid w:val="005D70C2"/>
    <w:rsid w:val="005E1B51"/>
    <w:rsid w:val="005E3633"/>
    <w:rsid w:val="005E413F"/>
    <w:rsid w:val="005E44CC"/>
    <w:rsid w:val="005F3CC2"/>
    <w:rsid w:val="005F4282"/>
    <w:rsid w:val="005F78FD"/>
    <w:rsid w:val="006009C6"/>
    <w:rsid w:val="00600B26"/>
    <w:rsid w:val="006021D2"/>
    <w:rsid w:val="00604035"/>
    <w:rsid w:val="00604D91"/>
    <w:rsid w:val="00606772"/>
    <w:rsid w:val="00612B0D"/>
    <w:rsid w:val="00613268"/>
    <w:rsid w:val="00613DB2"/>
    <w:rsid w:val="00614C6B"/>
    <w:rsid w:val="00616F7D"/>
    <w:rsid w:val="0061746F"/>
    <w:rsid w:val="00617794"/>
    <w:rsid w:val="006206D8"/>
    <w:rsid w:val="006214A4"/>
    <w:rsid w:val="00623EDB"/>
    <w:rsid w:val="00624929"/>
    <w:rsid w:val="00627EF4"/>
    <w:rsid w:val="00634095"/>
    <w:rsid w:val="00634DBC"/>
    <w:rsid w:val="00637632"/>
    <w:rsid w:val="00637BAF"/>
    <w:rsid w:val="00640BE2"/>
    <w:rsid w:val="006418F8"/>
    <w:rsid w:val="00641FA2"/>
    <w:rsid w:val="00644124"/>
    <w:rsid w:val="00644F1F"/>
    <w:rsid w:val="00645074"/>
    <w:rsid w:val="00651517"/>
    <w:rsid w:val="00651D49"/>
    <w:rsid w:val="00652E82"/>
    <w:rsid w:val="006547FE"/>
    <w:rsid w:val="00654879"/>
    <w:rsid w:val="00664EDD"/>
    <w:rsid w:val="0067167E"/>
    <w:rsid w:val="006728D3"/>
    <w:rsid w:val="00672E21"/>
    <w:rsid w:val="006730B8"/>
    <w:rsid w:val="00681289"/>
    <w:rsid w:val="00682724"/>
    <w:rsid w:val="0069383C"/>
    <w:rsid w:val="0069399E"/>
    <w:rsid w:val="006A107B"/>
    <w:rsid w:val="006A1298"/>
    <w:rsid w:val="006A522C"/>
    <w:rsid w:val="006B252B"/>
    <w:rsid w:val="006B519A"/>
    <w:rsid w:val="006B5362"/>
    <w:rsid w:val="006C50E0"/>
    <w:rsid w:val="006C6064"/>
    <w:rsid w:val="006C7147"/>
    <w:rsid w:val="006D2033"/>
    <w:rsid w:val="006D22C3"/>
    <w:rsid w:val="006D282E"/>
    <w:rsid w:val="006D318F"/>
    <w:rsid w:val="006D3ED4"/>
    <w:rsid w:val="006D4CE6"/>
    <w:rsid w:val="006D5DB5"/>
    <w:rsid w:val="006D68B7"/>
    <w:rsid w:val="006D6B9E"/>
    <w:rsid w:val="006D6FFD"/>
    <w:rsid w:val="006E1BBA"/>
    <w:rsid w:val="006E3F50"/>
    <w:rsid w:val="006E417A"/>
    <w:rsid w:val="006E4972"/>
    <w:rsid w:val="006E5887"/>
    <w:rsid w:val="006E6329"/>
    <w:rsid w:val="006E7EEF"/>
    <w:rsid w:val="006F02FF"/>
    <w:rsid w:val="006F1849"/>
    <w:rsid w:val="006F257F"/>
    <w:rsid w:val="006F784E"/>
    <w:rsid w:val="006F79FA"/>
    <w:rsid w:val="00701F05"/>
    <w:rsid w:val="007037AA"/>
    <w:rsid w:val="00703F8D"/>
    <w:rsid w:val="0070493F"/>
    <w:rsid w:val="00704C00"/>
    <w:rsid w:val="00705262"/>
    <w:rsid w:val="0070626C"/>
    <w:rsid w:val="00706361"/>
    <w:rsid w:val="0071070F"/>
    <w:rsid w:val="00710745"/>
    <w:rsid w:val="00714D0A"/>
    <w:rsid w:val="00716DC0"/>
    <w:rsid w:val="00717449"/>
    <w:rsid w:val="00724438"/>
    <w:rsid w:val="007266B2"/>
    <w:rsid w:val="00731685"/>
    <w:rsid w:val="00731B11"/>
    <w:rsid w:val="0073461A"/>
    <w:rsid w:val="00736A36"/>
    <w:rsid w:val="00740A84"/>
    <w:rsid w:val="00741B2B"/>
    <w:rsid w:val="007468E1"/>
    <w:rsid w:val="00750E71"/>
    <w:rsid w:val="007511F5"/>
    <w:rsid w:val="00753BDB"/>
    <w:rsid w:val="00755208"/>
    <w:rsid w:val="0075584B"/>
    <w:rsid w:val="00757BB3"/>
    <w:rsid w:val="00760FE5"/>
    <w:rsid w:val="00761513"/>
    <w:rsid w:val="0076323D"/>
    <w:rsid w:val="00764603"/>
    <w:rsid w:val="00764AD3"/>
    <w:rsid w:val="00765136"/>
    <w:rsid w:val="0077542E"/>
    <w:rsid w:val="00775D61"/>
    <w:rsid w:val="0077614E"/>
    <w:rsid w:val="0077719F"/>
    <w:rsid w:val="007771D1"/>
    <w:rsid w:val="00780129"/>
    <w:rsid w:val="007804CD"/>
    <w:rsid w:val="00781078"/>
    <w:rsid w:val="00785924"/>
    <w:rsid w:val="00791CB6"/>
    <w:rsid w:val="007922C3"/>
    <w:rsid w:val="00793CFA"/>
    <w:rsid w:val="00793E02"/>
    <w:rsid w:val="007961BB"/>
    <w:rsid w:val="00796D12"/>
    <w:rsid w:val="00797986"/>
    <w:rsid w:val="007A0FAD"/>
    <w:rsid w:val="007A15CF"/>
    <w:rsid w:val="007A3D36"/>
    <w:rsid w:val="007A419D"/>
    <w:rsid w:val="007A44FF"/>
    <w:rsid w:val="007A6412"/>
    <w:rsid w:val="007A6533"/>
    <w:rsid w:val="007B0278"/>
    <w:rsid w:val="007B2704"/>
    <w:rsid w:val="007B5119"/>
    <w:rsid w:val="007B704A"/>
    <w:rsid w:val="007C3766"/>
    <w:rsid w:val="007C4BB0"/>
    <w:rsid w:val="007C4F66"/>
    <w:rsid w:val="007C50E6"/>
    <w:rsid w:val="007C6BFD"/>
    <w:rsid w:val="007C6D2E"/>
    <w:rsid w:val="007D1112"/>
    <w:rsid w:val="007D65A7"/>
    <w:rsid w:val="007D6969"/>
    <w:rsid w:val="007E055A"/>
    <w:rsid w:val="007E072A"/>
    <w:rsid w:val="007E28B1"/>
    <w:rsid w:val="007F03D2"/>
    <w:rsid w:val="007F4C00"/>
    <w:rsid w:val="007F6286"/>
    <w:rsid w:val="007F6B2A"/>
    <w:rsid w:val="007F7B28"/>
    <w:rsid w:val="008014C8"/>
    <w:rsid w:val="008017E0"/>
    <w:rsid w:val="0080425F"/>
    <w:rsid w:val="008071D6"/>
    <w:rsid w:val="00810DFD"/>
    <w:rsid w:val="00811BCF"/>
    <w:rsid w:val="00813BE6"/>
    <w:rsid w:val="00815D40"/>
    <w:rsid w:val="00817710"/>
    <w:rsid w:val="0082090D"/>
    <w:rsid w:val="00821EED"/>
    <w:rsid w:val="0082350D"/>
    <w:rsid w:val="00823694"/>
    <w:rsid w:val="00823EA3"/>
    <w:rsid w:val="008240E0"/>
    <w:rsid w:val="008249E7"/>
    <w:rsid w:val="00826981"/>
    <w:rsid w:val="008310A0"/>
    <w:rsid w:val="0083352B"/>
    <w:rsid w:val="00835B4E"/>
    <w:rsid w:val="00836D70"/>
    <w:rsid w:val="008375C4"/>
    <w:rsid w:val="008412C2"/>
    <w:rsid w:val="00841F60"/>
    <w:rsid w:val="00842CE8"/>
    <w:rsid w:val="00843400"/>
    <w:rsid w:val="008451F0"/>
    <w:rsid w:val="0085288C"/>
    <w:rsid w:val="008557BD"/>
    <w:rsid w:val="0085663A"/>
    <w:rsid w:val="008567B8"/>
    <w:rsid w:val="00861909"/>
    <w:rsid w:val="008624E7"/>
    <w:rsid w:val="00867C05"/>
    <w:rsid w:val="008748A3"/>
    <w:rsid w:val="00875CD7"/>
    <w:rsid w:val="00876AC8"/>
    <w:rsid w:val="00882E19"/>
    <w:rsid w:val="00885663"/>
    <w:rsid w:val="008860D3"/>
    <w:rsid w:val="00886A3B"/>
    <w:rsid w:val="00893CCA"/>
    <w:rsid w:val="008946DD"/>
    <w:rsid w:val="00894EA9"/>
    <w:rsid w:val="0089534E"/>
    <w:rsid w:val="0089651F"/>
    <w:rsid w:val="008A322F"/>
    <w:rsid w:val="008A6116"/>
    <w:rsid w:val="008A6CA3"/>
    <w:rsid w:val="008B139D"/>
    <w:rsid w:val="008B146A"/>
    <w:rsid w:val="008B3338"/>
    <w:rsid w:val="008B3D2A"/>
    <w:rsid w:val="008B5226"/>
    <w:rsid w:val="008C1645"/>
    <w:rsid w:val="008C278A"/>
    <w:rsid w:val="008C2FF1"/>
    <w:rsid w:val="008C3D87"/>
    <w:rsid w:val="008C3EAF"/>
    <w:rsid w:val="008C6389"/>
    <w:rsid w:val="008C6A78"/>
    <w:rsid w:val="008D1B1F"/>
    <w:rsid w:val="008D2211"/>
    <w:rsid w:val="008D39D0"/>
    <w:rsid w:val="008D49D7"/>
    <w:rsid w:val="008D52C7"/>
    <w:rsid w:val="008D5A66"/>
    <w:rsid w:val="008D5BB1"/>
    <w:rsid w:val="008D61A7"/>
    <w:rsid w:val="008D61E4"/>
    <w:rsid w:val="008D7CED"/>
    <w:rsid w:val="008E0A11"/>
    <w:rsid w:val="008E161C"/>
    <w:rsid w:val="008E3B9C"/>
    <w:rsid w:val="008E4D00"/>
    <w:rsid w:val="008E6E8F"/>
    <w:rsid w:val="008E730F"/>
    <w:rsid w:val="008F11B9"/>
    <w:rsid w:val="008F12F1"/>
    <w:rsid w:val="008F335D"/>
    <w:rsid w:val="008F517B"/>
    <w:rsid w:val="008F5E47"/>
    <w:rsid w:val="00901D53"/>
    <w:rsid w:val="0090356E"/>
    <w:rsid w:val="0090496A"/>
    <w:rsid w:val="00911CC0"/>
    <w:rsid w:val="0091451B"/>
    <w:rsid w:val="00917C84"/>
    <w:rsid w:val="009203B2"/>
    <w:rsid w:val="009206F0"/>
    <w:rsid w:val="00923630"/>
    <w:rsid w:val="00925236"/>
    <w:rsid w:val="009276E2"/>
    <w:rsid w:val="00931F4F"/>
    <w:rsid w:val="00933D74"/>
    <w:rsid w:val="0093630D"/>
    <w:rsid w:val="009370E5"/>
    <w:rsid w:val="0093784F"/>
    <w:rsid w:val="00937A87"/>
    <w:rsid w:val="00937E20"/>
    <w:rsid w:val="00940503"/>
    <w:rsid w:val="0094051A"/>
    <w:rsid w:val="00941728"/>
    <w:rsid w:val="00941A96"/>
    <w:rsid w:val="0094620A"/>
    <w:rsid w:val="009538D2"/>
    <w:rsid w:val="00953BE8"/>
    <w:rsid w:val="0095405C"/>
    <w:rsid w:val="00954DA8"/>
    <w:rsid w:val="0095507B"/>
    <w:rsid w:val="009550D9"/>
    <w:rsid w:val="009561D7"/>
    <w:rsid w:val="00956EE6"/>
    <w:rsid w:val="00960DFC"/>
    <w:rsid w:val="00965AE5"/>
    <w:rsid w:val="009700EE"/>
    <w:rsid w:val="0097201B"/>
    <w:rsid w:val="009737CD"/>
    <w:rsid w:val="009741AC"/>
    <w:rsid w:val="00982B14"/>
    <w:rsid w:val="00983896"/>
    <w:rsid w:val="00986A5D"/>
    <w:rsid w:val="00990486"/>
    <w:rsid w:val="0099254A"/>
    <w:rsid w:val="00994225"/>
    <w:rsid w:val="0099498B"/>
    <w:rsid w:val="009976E9"/>
    <w:rsid w:val="009A134E"/>
    <w:rsid w:val="009A202E"/>
    <w:rsid w:val="009A3C2C"/>
    <w:rsid w:val="009A3D8A"/>
    <w:rsid w:val="009A5333"/>
    <w:rsid w:val="009A5655"/>
    <w:rsid w:val="009A7632"/>
    <w:rsid w:val="009B01D0"/>
    <w:rsid w:val="009B181C"/>
    <w:rsid w:val="009B36ED"/>
    <w:rsid w:val="009B3B50"/>
    <w:rsid w:val="009C1901"/>
    <w:rsid w:val="009C4D77"/>
    <w:rsid w:val="009C4FEF"/>
    <w:rsid w:val="009D2AD3"/>
    <w:rsid w:val="009D7651"/>
    <w:rsid w:val="009E2091"/>
    <w:rsid w:val="009E255F"/>
    <w:rsid w:val="009E4B3B"/>
    <w:rsid w:val="009E4DCD"/>
    <w:rsid w:val="009E5403"/>
    <w:rsid w:val="009E6D30"/>
    <w:rsid w:val="009F0FA1"/>
    <w:rsid w:val="009F221B"/>
    <w:rsid w:val="009F3124"/>
    <w:rsid w:val="009F549D"/>
    <w:rsid w:val="009F63E1"/>
    <w:rsid w:val="009F6B5F"/>
    <w:rsid w:val="009F74AD"/>
    <w:rsid w:val="009F76B8"/>
    <w:rsid w:val="00A0114A"/>
    <w:rsid w:val="00A022B0"/>
    <w:rsid w:val="00A02FFE"/>
    <w:rsid w:val="00A04F42"/>
    <w:rsid w:val="00A05726"/>
    <w:rsid w:val="00A136B0"/>
    <w:rsid w:val="00A13A5C"/>
    <w:rsid w:val="00A13EFD"/>
    <w:rsid w:val="00A15ABD"/>
    <w:rsid w:val="00A15DE9"/>
    <w:rsid w:val="00A17204"/>
    <w:rsid w:val="00A17E31"/>
    <w:rsid w:val="00A20A63"/>
    <w:rsid w:val="00A20DA1"/>
    <w:rsid w:val="00A27C46"/>
    <w:rsid w:val="00A3114A"/>
    <w:rsid w:val="00A33059"/>
    <w:rsid w:val="00A354E4"/>
    <w:rsid w:val="00A36429"/>
    <w:rsid w:val="00A412E5"/>
    <w:rsid w:val="00A41914"/>
    <w:rsid w:val="00A4309E"/>
    <w:rsid w:val="00A51F85"/>
    <w:rsid w:val="00A5386B"/>
    <w:rsid w:val="00A55021"/>
    <w:rsid w:val="00A550D1"/>
    <w:rsid w:val="00A57070"/>
    <w:rsid w:val="00A6014A"/>
    <w:rsid w:val="00A6115F"/>
    <w:rsid w:val="00A629A2"/>
    <w:rsid w:val="00A63F39"/>
    <w:rsid w:val="00A65CE8"/>
    <w:rsid w:val="00A67804"/>
    <w:rsid w:val="00A71B26"/>
    <w:rsid w:val="00A76278"/>
    <w:rsid w:val="00A769C9"/>
    <w:rsid w:val="00A777F1"/>
    <w:rsid w:val="00A77AB8"/>
    <w:rsid w:val="00A80012"/>
    <w:rsid w:val="00A8280A"/>
    <w:rsid w:val="00A857CD"/>
    <w:rsid w:val="00A86970"/>
    <w:rsid w:val="00A90025"/>
    <w:rsid w:val="00A91D69"/>
    <w:rsid w:val="00A94489"/>
    <w:rsid w:val="00A94E9A"/>
    <w:rsid w:val="00A957DD"/>
    <w:rsid w:val="00A96D47"/>
    <w:rsid w:val="00A97213"/>
    <w:rsid w:val="00AA0BF4"/>
    <w:rsid w:val="00AA55C2"/>
    <w:rsid w:val="00AA5E94"/>
    <w:rsid w:val="00AA65A1"/>
    <w:rsid w:val="00AA6747"/>
    <w:rsid w:val="00AB11BA"/>
    <w:rsid w:val="00AC19DB"/>
    <w:rsid w:val="00AC2EE0"/>
    <w:rsid w:val="00AC314D"/>
    <w:rsid w:val="00AC55CE"/>
    <w:rsid w:val="00AC5CCE"/>
    <w:rsid w:val="00AC63DB"/>
    <w:rsid w:val="00AD1572"/>
    <w:rsid w:val="00AD17C3"/>
    <w:rsid w:val="00AD1A2D"/>
    <w:rsid w:val="00AD2DBC"/>
    <w:rsid w:val="00AD3921"/>
    <w:rsid w:val="00AD55EA"/>
    <w:rsid w:val="00AD70CD"/>
    <w:rsid w:val="00AD7DCD"/>
    <w:rsid w:val="00AD7F9D"/>
    <w:rsid w:val="00AE51E0"/>
    <w:rsid w:val="00AE5508"/>
    <w:rsid w:val="00AE6604"/>
    <w:rsid w:val="00AE6804"/>
    <w:rsid w:val="00AF3F2B"/>
    <w:rsid w:val="00AF6E39"/>
    <w:rsid w:val="00B00CAB"/>
    <w:rsid w:val="00B00ED6"/>
    <w:rsid w:val="00B05878"/>
    <w:rsid w:val="00B0766C"/>
    <w:rsid w:val="00B107B0"/>
    <w:rsid w:val="00B10A06"/>
    <w:rsid w:val="00B162D8"/>
    <w:rsid w:val="00B1658C"/>
    <w:rsid w:val="00B20D6A"/>
    <w:rsid w:val="00B2252B"/>
    <w:rsid w:val="00B25664"/>
    <w:rsid w:val="00B26FBC"/>
    <w:rsid w:val="00B27416"/>
    <w:rsid w:val="00B30917"/>
    <w:rsid w:val="00B30B06"/>
    <w:rsid w:val="00B3231F"/>
    <w:rsid w:val="00B32871"/>
    <w:rsid w:val="00B36938"/>
    <w:rsid w:val="00B42F50"/>
    <w:rsid w:val="00B431FC"/>
    <w:rsid w:val="00B47386"/>
    <w:rsid w:val="00B53740"/>
    <w:rsid w:val="00B54457"/>
    <w:rsid w:val="00B545C7"/>
    <w:rsid w:val="00B54F57"/>
    <w:rsid w:val="00B56149"/>
    <w:rsid w:val="00B562DD"/>
    <w:rsid w:val="00B63A89"/>
    <w:rsid w:val="00B64FEE"/>
    <w:rsid w:val="00B66992"/>
    <w:rsid w:val="00B72A71"/>
    <w:rsid w:val="00B73982"/>
    <w:rsid w:val="00B7659A"/>
    <w:rsid w:val="00B80883"/>
    <w:rsid w:val="00B80E20"/>
    <w:rsid w:val="00B81A24"/>
    <w:rsid w:val="00B81AFC"/>
    <w:rsid w:val="00B81BCB"/>
    <w:rsid w:val="00B83F9E"/>
    <w:rsid w:val="00B908F5"/>
    <w:rsid w:val="00B94BCD"/>
    <w:rsid w:val="00B957CC"/>
    <w:rsid w:val="00B965A3"/>
    <w:rsid w:val="00BA0DBB"/>
    <w:rsid w:val="00BA1D6D"/>
    <w:rsid w:val="00BA5832"/>
    <w:rsid w:val="00BA6BEF"/>
    <w:rsid w:val="00BB24B3"/>
    <w:rsid w:val="00BB40F1"/>
    <w:rsid w:val="00BB47AD"/>
    <w:rsid w:val="00BB648E"/>
    <w:rsid w:val="00BC0B78"/>
    <w:rsid w:val="00BC2747"/>
    <w:rsid w:val="00BC3967"/>
    <w:rsid w:val="00BC3E61"/>
    <w:rsid w:val="00BC3EBB"/>
    <w:rsid w:val="00BC502F"/>
    <w:rsid w:val="00BC78C3"/>
    <w:rsid w:val="00BD040A"/>
    <w:rsid w:val="00BD071B"/>
    <w:rsid w:val="00BD0C59"/>
    <w:rsid w:val="00BD7903"/>
    <w:rsid w:val="00BE0823"/>
    <w:rsid w:val="00BE08D8"/>
    <w:rsid w:val="00BE1B2D"/>
    <w:rsid w:val="00BE33E7"/>
    <w:rsid w:val="00BE407A"/>
    <w:rsid w:val="00BE7068"/>
    <w:rsid w:val="00BF1B5B"/>
    <w:rsid w:val="00BF1CEF"/>
    <w:rsid w:val="00BF307B"/>
    <w:rsid w:val="00BF34A3"/>
    <w:rsid w:val="00BF4F3E"/>
    <w:rsid w:val="00BF659B"/>
    <w:rsid w:val="00C02C81"/>
    <w:rsid w:val="00C04354"/>
    <w:rsid w:val="00C105D0"/>
    <w:rsid w:val="00C11D5C"/>
    <w:rsid w:val="00C1283C"/>
    <w:rsid w:val="00C13F00"/>
    <w:rsid w:val="00C14FAB"/>
    <w:rsid w:val="00C1644C"/>
    <w:rsid w:val="00C16512"/>
    <w:rsid w:val="00C16721"/>
    <w:rsid w:val="00C16833"/>
    <w:rsid w:val="00C17B1D"/>
    <w:rsid w:val="00C17C08"/>
    <w:rsid w:val="00C20034"/>
    <w:rsid w:val="00C206A0"/>
    <w:rsid w:val="00C216D9"/>
    <w:rsid w:val="00C221FA"/>
    <w:rsid w:val="00C22524"/>
    <w:rsid w:val="00C2259C"/>
    <w:rsid w:val="00C237E4"/>
    <w:rsid w:val="00C2586C"/>
    <w:rsid w:val="00C26D43"/>
    <w:rsid w:val="00C3313E"/>
    <w:rsid w:val="00C3366B"/>
    <w:rsid w:val="00C34AEB"/>
    <w:rsid w:val="00C41D00"/>
    <w:rsid w:val="00C4485F"/>
    <w:rsid w:val="00C458FD"/>
    <w:rsid w:val="00C45903"/>
    <w:rsid w:val="00C52149"/>
    <w:rsid w:val="00C52166"/>
    <w:rsid w:val="00C54707"/>
    <w:rsid w:val="00C579AC"/>
    <w:rsid w:val="00C61378"/>
    <w:rsid w:val="00C67163"/>
    <w:rsid w:val="00C750E1"/>
    <w:rsid w:val="00C752B2"/>
    <w:rsid w:val="00C80EE6"/>
    <w:rsid w:val="00C823A1"/>
    <w:rsid w:val="00C82F37"/>
    <w:rsid w:val="00C839E4"/>
    <w:rsid w:val="00C84875"/>
    <w:rsid w:val="00C940E8"/>
    <w:rsid w:val="00C97566"/>
    <w:rsid w:val="00CA054E"/>
    <w:rsid w:val="00CA201D"/>
    <w:rsid w:val="00CA3736"/>
    <w:rsid w:val="00CA44FD"/>
    <w:rsid w:val="00CA4539"/>
    <w:rsid w:val="00CA73A6"/>
    <w:rsid w:val="00CB11B7"/>
    <w:rsid w:val="00CB7368"/>
    <w:rsid w:val="00CB73ED"/>
    <w:rsid w:val="00CC0CAF"/>
    <w:rsid w:val="00CC1C0C"/>
    <w:rsid w:val="00CC2A7D"/>
    <w:rsid w:val="00CC2E77"/>
    <w:rsid w:val="00CC3BDB"/>
    <w:rsid w:val="00CC4056"/>
    <w:rsid w:val="00CC52EE"/>
    <w:rsid w:val="00CD1543"/>
    <w:rsid w:val="00CD1815"/>
    <w:rsid w:val="00CD412A"/>
    <w:rsid w:val="00CD462E"/>
    <w:rsid w:val="00CD47F9"/>
    <w:rsid w:val="00CD6AC2"/>
    <w:rsid w:val="00CE17D4"/>
    <w:rsid w:val="00CE1C0E"/>
    <w:rsid w:val="00CE3866"/>
    <w:rsid w:val="00CE44A2"/>
    <w:rsid w:val="00CF171B"/>
    <w:rsid w:val="00CF1D67"/>
    <w:rsid w:val="00CF2160"/>
    <w:rsid w:val="00CF2D8E"/>
    <w:rsid w:val="00CF3E1B"/>
    <w:rsid w:val="00CF5B42"/>
    <w:rsid w:val="00D00BF8"/>
    <w:rsid w:val="00D034AC"/>
    <w:rsid w:val="00D05B21"/>
    <w:rsid w:val="00D06B27"/>
    <w:rsid w:val="00D06B99"/>
    <w:rsid w:val="00D13049"/>
    <w:rsid w:val="00D15478"/>
    <w:rsid w:val="00D16316"/>
    <w:rsid w:val="00D20167"/>
    <w:rsid w:val="00D2146C"/>
    <w:rsid w:val="00D32F37"/>
    <w:rsid w:val="00D3341B"/>
    <w:rsid w:val="00D345AF"/>
    <w:rsid w:val="00D34FE2"/>
    <w:rsid w:val="00D368F7"/>
    <w:rsid w:val="00D3771B"/>
    <w:rsid w:val="00D4064C"/>
    <w:rsid w:val="00D42274"/>
    <w:rsid w:val="00D433A8"/>
    <w:rsid w:val="00D43CD4"/>
    <w:rsid w:val="00D43FB7"/>
    <w:rsid w:val="00D44452"/>
    <w:rsid w:val="00D524D1"/>
    <w:rsid w:val="00D5366C"/>
    <w:rsid w:val="00D540D4"/>
    <w:rsid w:val="00D60446"/>
    <w:rsid w:val="00D60552"/>
    <w:rsid w:val="00D66C46"/>
    <w:rsid w:val="00D67D91"/>
    <w:rsid w:val="00D70414"/>
    <w:rsid w:val="00D70D65"/>
    <w:rsid w:val="00D736D4"/>
    <w:rsid w:val="00D73703"/>
    <w:rsid w:val="00D75350"/>
    <w:rsid w:val="00D760AD"/>
    <w:rsid w:val="00D76650"/>
    <w:rsid w:val="00D7781F"/>
    <w:rsid w:val="00D779E0"/>
    <w:rsid w:val="00D8065E"/>
    <w:rsid w:val="00D82FA2"/>
    <w:rsid w:val="00D87D19"/>
    <w:rsid w:val="00D931A7"/>
    <w:rsid w:val="00D93287"/>
    <w:rsid w:val="00D9463B"/>
    <w:rsid w:val="00D97495"/>
    <w:rsid w:val="00DA30D1"/>
    <w:rsid w:val="00DA52FD"/>
    <w:rsid w:val="00DB160C"/>
    <w:rsid w:val="00DB28A8"/>
    <w:rsid w:val="00DB4395"/>
    <w:rsid w:val="00DB549D"/>
    <w:rsid w:val="00DB6025"/>
    <w:rsid w:val="00DB6C6E"/>
    <w:rsid w:val="00DB7C03"/>
    <w:rsid w:val="00DC14E0"/>
    <w:rsid w:val="00DC2712"/>
    <w:rsid w:val="00DC32BB"/>
    <w:rsid w:val="00DC391B"/>
    <w:rsid w:val="00DC42F8"/>
    <w:rsid w:val="00DC7D17"/>
    <w:rsid w:val="00DD50B6"/>
    <w:rsid w:val="00DD7BA7"/>
    <w:rsid w:val="00DE0585"/>
    <w:rsid w:val="00DE1129"/>
    <w:rsid w:val="00DE252D"/>
    <w:rsid w:val="00DE2843"/>
    <w:rsid w:val="00DE2B1D"/>
    <w:rsid w:val="00DE2EB2"/>
    <w:rsid w:val="00DE4F97"/>
    <w:rsid w:val="00DE500C"/>
    <w:rsid w:val="00DE5B00"/>
    <w:rsid w:val="00DE721A"/>
    <w:rsid w:val="00DE7D46"/>
    <w:rsid w:val="00DF0F4E"/>
    <w:rsid w:val="00DF23F9"/>
    <w:rsid w:val="00DF2D6F"/>
    <w:rsid w:val="00DF47C2"/>
    <w:rsid w:val="00DF51C9"/>
    <w:rsid w:val="00DF75D5"/>
    <w:rsid w:val="00DF79AE"/>
    <w:rsid w:val="00E00791"/>
    <w:rsid w:val="00E03B9B"/>
    <w:rsid w:val="00E052BD"/>
    <w:rsid w:val="00E110E2"/>
    <w:rsid w:val="00E1226E"/>
    <w:rsid w:val="00E129E7"/>
    <w:rsid w:val="00E15518"/>
    <w:rsid w:val="00E1764B"/>
    <w:rsid w:val="00E20379"/>
    <w:rsid w:val="00E226E5"/>
    <w:rsid w:val="00E23298"/>
    <w:rsid w:val="00E30D10"/>
    <w:rsid w:val="00E3239D"/>
    <w:rsid w:val="00E34768"/>
    <w:rsid w:val="00E37A28"/>
    <w:rsid w:val="00E40014"/>
    <w:rsid w:val="00E414DC"/>
    <w:rsid w:val="00E418EE"/>
    <w:rsid w:val="00E53A02"/>
    <w:rsid w:val="00E53FAF"/>
    <w:rsid w:val="00E60A9A"/>
    <w:rsid w:val="00E62B73"/>
    <w:rsid w:val="00E6524B"/>
    <w:rsid w:val="00E70935"/>
    <w:rsid w:val="00E72767"/>
    <w:rsid w:val="00E741A6"/>
    <w:rsid w:val="00E7545C"/>
    <w:rsid w:val="00E82AD3"/>
    <w:rsid w:val="00E83CD4"/>
    <w:rsid w:val="00E85D55"/>
    <w:rsid w:val="00E8676C"/>
    <w:rsid w:val="00E87B75"/>
    <w:rsid w:val="00E90D16"/>
    <w:rsid w:val="00E9100C"/>
    <w:rsid w:val="00E919CA"/>
    <w:rsid w:val="00E9700F"/>
    <w:rsid w:val="00EA1838"/>
    <w:rsid w:val="00EA3A7B"/>
    <w:rsid w:val="00EA52BF"/>
    <w:rsid w:val="00EB27F8"/>
    <w:rsid w:val="00EB503F"/>
    <w:rsid w:val="00EB6D37"/>
    <w:rsid w:val="00EC09D4"/>
    <w:rsid w:val="00EC1FAB"/>
    <w:rsid w:val="00EC4057"/>
    <w:rsid w:val="00EC5260"/>
    <w:rsid w:val="00EC6765"/>
    <w:rsid w:val="00EC7479"/>
    <w:rsid w:val="00ED0643"/>
    <w:rsid w:val="00EE0816"/>
    <w:rsid w:val="00EE0ECD"/>
    <w:rsid w:val="00EE2216"/>
    <w:rsid w:val="00EE2CDE"/>
    <w:rsid w:val="00EE37B9"/>
    <w:rsid w:val="00EF0A54"/>
    <w:rsid w:val="00EF0EAD"/>
    <w:rsid w:val="00EF1B23"/>
    <w:rsid w:val="00EF210E"/>
    <w:rsid w:val="00EF6283"/>
    <w:rsid w:val="00EF684E"/>
    <w:rsid w:val="00EF7542"/>
    <w:rsid w:val="00F00FE2"/>
    <w:rsid w:val="00F022C4"/>
    <w:rsid w:val="00F03297"/>
    <w:rsid w:val="00F03A4B"/>
    <w:rsid w:val="00F0492E"/>
    <w:rsid w:val="00F051C3"/>
    <w:rsid w:val="00F078F3"/>
    <w:rsid w:val="00F10427"/>
    <w:rsid w:val="00F10D59"/>
    <w:rsid w:val="00F12D5F"/>
    <w:rsid w:val="00F12DF1"/>
    <w:rsid w:val="00F1312A"/>
    <w:rsid w:val="00F1351B"/>
    <w:rsid w:val="00F159E5"/>
    <w:rsid w:val="00F15BD2"/>
    <w:rsid w:val="00F1742E"/>
    <w:rsid w:val="00F22DE3"/>
    <w:rsid w:val="00F256E7"/>
    <w:rsid w:val="00F3203F"/>
    <w:rsid w:val="00F33592"/>
    <w:rsid w:val="00F3403C"/>
    <w:rsid w:val="00F40252"/>
    <w:rsid w:val="00F43B66"/>
    <w:rsid w:val="00F4562D"/>
    <w:rsid w:val="00F47AF6"/>
    <w:rsid w:val="00F47D60"/>
    <w:rsid w:val="00F51527"/>
    <w:rsid w:val="00F5376B"/>
    <w:rsid w:val="00F53E89"/>
    <w:rsid w:val="00F55A95"/>
    <w:rsid w:val="00F5616B"/>
    <w:rsid w:val="00F64921"/>
    <w:rsid w:val="00F65D36"/>
    <w:rsid w:val="00F67641"/>
    <w:rsid w:val="00F67F07"/>
    <w:rsid w:val="00F719A6"/>
    <w:rsid w:val="00F73C1C"/>
    <w:rsid w:val="00F7795E"/>
    <w:rsid w:val="00F82A13"/>
    <w:rsid w:val="00F82CE4"/>
    <w:rsid w:val="00F9280B"/>
    <w:rsid w:val="00F92DE4"/>
    <w:rsid w:val="00F93108"/>
    <w:rsid w:val="00F93B50"/>
    <w:rsid w:val="00F94BDC"/>
    <w:rsid w:val="00FA0765"/>
    <w:rsid w:val="00FA2F71"/>
    <w:rsid w:val="00FA3012"/>
    <w:rsid w:val="00FA354E"/>
    <w:rsid w:val="00FA3595"/>
    <w:rsid w:val="00FA52F6"/>
    <w:rsid w:val="00FA6235"/>
    <w:rsid w:val="00FA6A26"/>
    <w:rsid w:val="00FA7FB5"/>
    <w:rsid w:val="00FB0214"/>
    <w:rsid w:val="00FB2FB7"/>
    <w:rsid w:val="00FB338B"/>
    <w:rsid w:val="00FB5C57"/>
    <w:rsid w:val="00FC41C6"/>
    <w:rsid w:val="00FC5CDD"/>
    <w:rsid w:val="00FC6154"/>
    <w:rsid w:val="00FC626E"/>
    <w:rsid w:val="00FD3C12"/>
    <w:rsid w:val="00FD48E7"/>
    <w:rsid w:val="00FD6174"/>
    <w:rsid w:val="00FD7068"/>
    <w:rsid w:val="00FE5B3F"/>
    <w:rsid w:val="00FE5F29"/>
    <w:rsid w:val="00FE67AF"/>
    <w:rsid w:val="00FE70FC"/>
    <w:rsid w:val="00FE7281"/>
    <w:rsid w:val="00FF2E45"/>
    <w:rsid w:val="00FF3541"/>
    <w:rsid w:val="00FF3D8D"/>
    <w:rsid w:val="00FF787F"/>
  </w:rsids>
  <m:mathPr>
    <m:mathFont m:val="Cambria Math"/>
    <m:brkBin m:val="before"/>
    <m:brkBinSub m:val="--"/>
    <m:smallFrac m:val="0"/>
    <m:dispDef/>
    <m:lMargin m:val="0"/>
    <m:rMargin m:val="0"/>
    <m:defJc m:val="centerGroup"/>
    <m:wrapIndent m:val="1440"/>
    <m:intLim m:val="subSup"/>
    <m:naryLim m:val="undOvr"/>
  </m:mathPr>
  <w:themeFontLang w:val="lv-LV"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F5EA74"/>
  <w15:docId w15:val="{24AE8ADE-9678-4CE2-A122-9644B7CC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BFA"/>
    <w:pPr>
      <w:overflowPunct w:val="0"/>
      <w:autoSpaceDE w:val="0"/>
      <w:autoSpaceDN w:val="0"/>
      <w:adjustRightInd w:val="0"/>
      <w:spacing w:after="0" w:line="240" w:lineRule="auto"/>
      <w:textAlignment w:val="baseline"/>
    </w:pPr>
    <w:rPr>
      <w:rFonts w:ascii="RimTimes" w:eastAsia="Times New Roman" w:hAnsi="RimTimes" w:cs="Times New Roman"/>
      <w:sz w:val="20"/>
      <w:szCs w:val="20"/>
    </w:rPr>
  </w:style>
  <w:style w:type="paragraph" w:styleId="Heading1">
    <w:name w:val="heading 1"/>
    <w:basedOn w:val="Normal"/>
    <w:next w:val="Normal"/>
    <w:link w:val="Heading1Char"/>
    <w:autoRedefine/>
    <w:qFormat/>
    <w:rsid w:val="00AC314D"/>
    <w:pPr>
      <w:keepNext/>
      <w:widowControl w:val="0"/>
      <w:numPr>
        <w:ilvl w:val="1"/>
        <w:numId w:val="5"/>
      </w:numPr>
      <w:overflowPunct/>
      <w:autoSpaceDE/>
      <w:autoSpaceDN/>
      <w:adjustRightInd/>
      <w:spacing w:before="340" w:after="340"/>
      <w:jc w:val="both"/>
      <w:textAlignment w:val="auto"/>
      <w:outlineLvl w:val="0"/>
    </w:pPr>
    <w:rPr>
      <w:rFonts w:ascii="Times New Roman" w:hAnsi="Times New Roman"/>
      <w:b/>
      <w:bCs/>
      <w:kern w:val="32"/>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314D"/>
    <w:rPr>
      <w:rFonts w:ascii="Times New Roman" w:eastAsia="Times New Roman" w:hAnsi="Times New Roman" w:cs="Times New Roman"/>
      <w:b/>
      <w:bCs/>
      <w:kern w:val="32"/>
    </w:rPr>
  </w:style>
  <w:style w:type="paragraph" w:styleId="Subtitle">
    <w:name w:val="Subtitle"/>
    <w:basedOn w:val="Normal"/>
    <w:link w:val="SubtitleChar"/>
    <w:qFormat/>
    <w:rsid w:val="00096BFA"/>
    <w:pPr>
      <w:spacing w:after="60"/>
      <w:jc w:val="center"/>
    </w:pPr>
    <w:rPr>
      <w:rFonts w:ascii="Arial" w:hAnsi="Arial"/>
      <w:sz w:val="24"/>
    </w:rPr>
  </w:style>
  <w:style w:type="character" w:customStyle="1" w:styleId="SubtitleChar">
    <w:name w:val="Subtitle Char"/>
    <w:basedOn w:val="DefaultParagraphFont"/>
    <w:link w:val="Subtitle"/>
    <w:rsid w:val="00096BFA"/>
    <w:rPr>
      <w:rFonts w:ascii="Arial" w:eastAsia="Times New Roman" w:hAnsi="Arial" w:cs="Times New Roman"/>
      <w:sz w:val="24"/>
      <w:szCs w:val="20"/>
    </w:rPr>
  </w:style>
  <w:style w:type="paragraph" w:styleId="Header">
    <w:name w:val="header"/>
    <w:basedOn w:val="Normal"/>
    <w:link w:val="HeaderChar"/>
    <w:uiPriority w:val="99"/>
    <w:unhideWhenUsed/>
    <w:rsid w:val="00096BFA"/>
    <w:pPr>
      <w:tabs>
        <w:tab w:val="center" w:pos="4153"/>
        <w:tab w:val="right" w:pos="8306"/>
      </w:tabs>
    </w:pPr>
  </w:style>
  <w:style w:type="character" w:customStyle="1" w:styleId="HeaderChar">
    <w:name w:val="Header Char"/>
    <w:basedOn w:val="DefaultParagraphFont"/>
    <w:link w:val="Header"/>
    <w:uiPriority w:val="99"/>
    <w:rsid w:val="00096BFA"/>
    <w:rPr>
      <w:rFonts w:ascii="RimTimes" w:eastAsia="Times New Roman" w:hAnsi="RimTimes" w:cs="Times New Roman"/>
      <w:sz w:val="20"/>
      <w:szCs w:val="20"/>
    </w:rPr>
  </w:style>
  <w:style w:type="paragraph" w:styleId="Footer">
    <w:name w:val="footer"/>
    <w:basedOn w:val="Normal"/>
    <w:link w:val="FooterChar"/>
    <w:uiPriority w:val="99"/>
    <w:unhideWhenUsed/>
    <w:rsid w:val="00096BFA"/>
    <w:pPr>
      <w:tabs>
        <w:tab w:val="center" w:pos="4153"/>
        <w:tab w:val="right" w:pos="8306"/>
      </w:tabs>
    </w:pPr>
  </w:style>
  <w:style w:type="character" w:customStyle="1" w:styleId="FooterChar">
    <w:name w:val="Footer Char"/>
    <w:basedOn w:val="DefaultParagraphFont"/>
    <w:link w:val="Footer"/>
    <w:uiPriority w:val="99"/>
    <w:rsid w:val="00096BFA"/>
    <w:rPr>
      <w:rFonts w:ascii="RimTimes" w:eastAsia="Times New Roman" w:hAnsi="RimTimes" w:cs="Times New Roman"/>
      <w:sz w:val="20"/>
      <w:szCs w:val="20"/>
    </w:rPr>
  </w:style>
  <w:style w:type="paragraph" w:styleId="BalloonText">
    <w:name w:val="Balloon Text"/>
    <w:basedOn w:val="Normal"/>
    <w:link w:val="BalloonTextChar"/>
    <w:uiPriority w:val="99"/>
    <w:semiHidden/>
    <w:unhideWhenUsed/>
    <w:rsid w:val="00096BFA"/>
    <w:rPr>
      <w:rFonts w:ascii="Tahoma" w:hAnsi="Tahoma" w:cs="Tahoma"/>
      <w:sz w:val="16"/>
      <w:szCs w:val="16"/>
    </w:rPr>
  </w:style>
  <w:style w:type="character" w:customStyle="1" w:styleId="BalloonTextChar">
    <w:name w:val="Balloon Text Char"/>
    <w:basedOn w:val="DefaultParagraphFont"/>
    <w:link w:val="BalloonText"/>
    <w:uiPriority w:val="99"/>
    <w:semiHidden/>
    <w:rsid w:val="00096BFA"/>
    <w:rPr>
      <w:rFonts w:ascii="Tahoma" w:eastAsia="Times New Roman" w:hAnsi="Tahoma" w:cs="Tahoma"/>
      <w:sz w:val="16"/>
      <w:szCs w:val="16"/>
    </w:rPr>
  </w:style>
  <w:style w:type="table" w:styleId="TableGrid">
    <w:name w:val="Table Grid"/>
    <w:basedOn w:val="TableNormal"/>
    <w:uiPriority w:val="59"/>
    <w:rsid w:val="00096BFA"/>
    <w:pPr>
      <w:spacing w:after="0" w:line="240" w:lineRule="auto"/>
    </w:pPr>
    <w:rPr>
      <w:rFonts w:ascii="Calibri" w:eastAsia="Calibri" w:hAnsi="Calibri" w:cs="DokChampa"/>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link w:val="BodyTextChar"/>
    <w:autoRedefine/>
    <w:rsid w:val="00736A36"/>
    <w:pPr>
      <w:widowControl w:val="0"/>
      <w:numPr>
        <w:ilvl w:val="1"/>
        <w:numId w:val="14"/>
      </w:numPr>
      <w:overflowPunct/>
      <w:autoSpaceDE/>
      <w:autoSpaceDN/>
      <w:adjustRightInd/>
      <w:jc w:val="both"/>
      <w:textAlignment w:val="auto"/>
    </w:pPr>
    <w:rPr>
      <w:rFonts w:ascii="Times New Roman" w:hAnsi="Times New Roman"/>
      <w:kern w:val="32"/>
      <w:sz w:val="22"/>
      <w:szCs w:val="22"/>
    </w:rPr>
  </w:style>
  <w:style w:type="character" w:customStyle="1" w:styleId="BodyTextChar">
    <w:name w:val="Body Text Char"/>
    <w:basedOn w:val="DefaultParagraphFont"/>
    <w:link w:val="BodyText"/>
    <w:rsid w:val="00736A36"/>
    <w:rPr>
      <w:rFonts w:ascii="Times New Roman" w:eastAsia="Times New Roman" w:hAnsi="Times New Roman" w:cs="Times New Roman"/>
      <w:kern w:val="32"/>
    </w:rPr>
  </w:style>
  <w:style w:type="paragraph" w:styleId="List">
    <w:name w:val="List"/>
    <w:basedOn w:val="Normal"/>
    <w:rsid w:val="00096BFA"/>
    <w:pPr>
      <w:ind w:left="360" w:hanging="360"/>
    </w:pPr>
  </w:style>
  <w:style w:type="paragraph" w:styleId="ListParagraph">
    <w:name w:val="List Paragraph"/>
    <w:aliases w:val="2,Virsraksti,Punktlista 2-spalt"/>
    <w:basedOn w:val="Normal"/>
    <w:link w:val="ListParagraphChar"/>
    <w:uiPriority w:val="34"/>
    <w:qFormat/>
    <w:rsid w:val="00096BFA"/>
    <w:pPr>
      <w:ind w:left="720"/>
      <w:contextualSpacing/>
    </w:pPr>
  </w:style>
  <w:style w:type="character" w:styleId="Strong">
    <w:name w:val="Strong"/>
    <w:uiPriority w:val="22"/>
    <w:qFormat/>
    <w:rsid w:val="00096BFA"/>
    <w:rPr>
      <w:b/>
      <w:bCs/>
    </w:rPr>
  </w:style>
  <w:style w:type="character" w:styleId="Hyperlink">
    <w:name w:val="Hyperlink"/>
    <w:unhideWhenUsed/>
    <w:rsid w:val="00096BFA"/>
    <w:rPr>
      <w:color w:val="0000FF"/>
      <w:u w:val="single"/>
    </w:rPr>
  </w:style>
  <w:style w:type="paragraph" w:customStyle="1" w:styleId="CharChar">
    <w:name w:val="Char Char"/>
    <w:basedOn w:val="Normal"/>
    <w:rsid w:val="00096BFA"/>
    <w:pPr>
      <w:overflowPunct/>
      <w:autoSpaceDE/>
      <w:autoSpaceDN/>
      <w:adjustRightInd/>
      <w:spacing w:after="160" w:line="240" w:lineRule="exact"/>
      <w:textAlignment w:val="auto"/>
    </w:pPr>
    <w:rPr>
      <w:rFonts w:ascii="Tahoma" w:hAnsi="Tahoma"/>
      <w:lang w:val="en-US"/>
    </w:rPr>
  </w:style>
  <w:style w:type="paragraph" w:customStyle="1" w:styleId="Text3">
    <w:name w:val="Text 3"/>
    <w:basedOn w:val="Normal"/>
    <w:rsid w:val="00096BFA"/>
    <w:pPr>
      <w:overflowPunct/>
      <w:autoSpaceDE/>
      <w:autoSpaceDN/>
      <w:adjustRightInd/>
      <w:spacing w:after="240"/>
      <w:ind w:left="720"/>
      <w:jc w:val="both"/>
      <w:textAlignment w:val="auto"/>
    </w:pPr>
    <w:rPr>
      <w:rFonts w:ascii="Times New Roman" w:hAnsi="Times New Roman"/>
      <w:lang w:val="fr-FR" w:eastAsia="it-IT"/>
    </w:rPr>
  </w:style>
  <w:style w:type="character" w:styleId="CommentReference">
    <w:name w:val="annotation reference"/>
    <w:unhideWhenUsed/>
    <w:rsid w:val="00096BFA"/>
    <w:rPr>
      <w:sz w:val="16"/>
      <w:szCs w:val="16"/>
    </w:rPr>
  </w:style>
  <w:style w:type="paragraph" w:styleId="CommentText">
    <w:name w:val="annotation text"/>
    <w:basedOn w:val="Normal"/>
    <w:link w:val="CommentTextChar"/>
    <w:uiPriority w:val="99"/>
    <w:unhideWhenUsed/>
    <w:rsid w:val="00096BFA"/>
  </w:style>
  <w:style w:type="character" w:customStyle="1" w:styleId="CommentTextChar">
    <w:name w:val="Comment Text Char"/>
    <w:basedOn w:val="DefaultParagraphFont"/>
    <w:link w:val="CommentText"/>
    <w:uiPriority w:val="99"/>
    <w:rsid w:val="00096BFA"/>
    <w:rPr>
      <w:rFonts w:ascii="RimTimes" w:eastAsia="Times New Roman" w:hAnsi="RimTimes" w:cs="Times New Roman"/>
      <w:sz w:val="20"/>
      <w:szCs w:val="20"/>
    </w:rPr>
  </w:style>
  <w:style w:type="paragraph" w:styleId="CommentSubject">
    <w:name w:val="annotation subject"/>
    <w:basedOn w:val="CommentText"/>
    <w:next w:val="CommentText"/>
    <w:link w:val="CommentSubjectChar"/>
    <w:uiPriority w:val="99"/>
    <w:semiHidden/>
    <w:unhideWhenUsed/>
    <w:rsid w:val="00096BFA"/>
    <w:rPr>
      <w:b/>
      <w:bCs/>
    </w:rPr>
  </w:style>
  <w:style w:type="character" w:customStyle="1" w:styleId="CommentSubjectChar">
    <w:name w:val="Comment Subject Char"/>
    <w:basedOn w:val="CommentTextChar"/>
    <w:link w:val="CommentSubject"/>
    <w:uiPriority w:val="99"/>
    <w:semiHidden/>
    <w:rsid w:val="00096BFA"/>
    <w:rPr>
      <w:rFonts w:ascii="RimTimes" w:eastAsia="Times New Roman" w:hAnsi="RimTimes" w:cs="Times New Roman"/>
      <w:b/>
      <w:bCs/>
      <w:sz w:val="20"/>
      <w:szCs w:val="20"/>
    </w:rPr>
  </w:style>
  <w:style w:type="paragraph" w:styleId="BodyText2">
    <w:name w:val="Body Text 2"/>
    <w:basedOn w:val="BodyText"/>
    <w:link w:val="BodyText2Char"/>
    <w:autoRedefine/>
    <w:rsid w:val="00096BFA"/>
    <w:rPr>
      <w:rFonts w:ascii="Franklin Gothic Book" w:hAnsi="Franklin Gothic Book"/>
    </w:rPr>
  </w:style>
  <w:style w:type="character" w:customStyle="1" w:styleId="BodyText2Char">
    <w:name w:val="Body Text 2 Char"/>
    <w:basedOn w:val="DefaultParagraphFont"/>
    <w:link w:val="BodyText2"/>
    <w:rsid w:val="00096BFA"/>
    <w:rPr>
      <w:rFonts w:ascii="Franklin Gothic Book" w:eastAsia="Times New Roman" w:hAnsi="Franklin Gothic Book" w:cs="Times New Roman"/>
      <w:kern w:val="32"/>
    </w:rPr>
  </w:style>
  <w:style w:type="paragraph" w:styleId="Title">
    <w:name w:val="Title"/>
    <w:basedOn w:val="Normal"/>
    <w:link w:val="TitleChar"/>
    <w:autoRedefine/>
    <w:qFormat/>
    <w:rsid w:val="00096BFA"/>
    <w:pPr>
      <w:spacing w:before="360" w:after="360"/>
      <w:jc w:val="center"/>
      <w:outlineLvl w:val="0"/>
    </w:pPr>
    <w:rPr>
      <w:rFonts w:ascii="Franklin Gothic Book" w:hAnsi="Franklin Gothic Book" w:cs="Arial"/>
      <w:b/>
      <w:bCs/>
      <w:caps/>
      <w:kern w:val="28"/>
      <w:sz w:val="28"/>
      <w:szCs w:val="28"/>
    </w:rPr>
  </w:style>
  <w:style w:type="character" w:customStyle="1" w:styleId="TitleChar">
    <w:name w:val="Title Char"/>
    <w:basedOn w:val="DefaultParagraphFont"/>
    <w:link w:val="Title"/>
    <w:rsid w:val="00096BFA"/>
    <w:rPr>
      <w:rFonts w:ascii="Franklin Gothic Book" w:eastAsia="Times New Roman" w:hAnsi="Franklin Gothic Book" w:cs="Arial"/>
      <w:b/>
      <w:bCs/>
      <w:caps/>
      <w:kern w:val="28"/>
      <w:sz w:val="28"/>
      <w:szCs w:val="28"/>
    </w:rPr>
  </w:style>
  <w:style w:type="paragraph" w:styleId="NoSpacing">
    <w:name w:val="No Spacing"/>
    <w:uiPriority w:val="1"/>
    <w:qFormat/>
    <w:rsid w:val="00096BFA"/>
    <w:pPr>
      <w:spacing w:after="0" w:line="240" w:lineRule="auto"/>
    </w:pPr>
    <w:rPr>
      <w:rFonts w:ascii="Calibri" w:eastAsia="Calibri" w:hAnsi="Calibri" w:cs="Times New Roman"/>
    </w:rPr>
  </w:style>
  <w:style w:type="paragraph" w:styleId="BodyTextIndent2">
    <w:name w:val="Body Text Indent 2"/>
    <w:basedOn w:val="Normal"/>
    <w:link w:val="BodyTextIndent2Char"/>
    <w:uiPriority w:val="99"/>
    <w:semiHidden/>
    <w:unhideWhenUsed/>
    <w:rsid w:val="00096BFA"/>
    <w:pPr>
      <w:spacing w:after="120" w:line="480" w:lineRule="auto"/>
      <w:ind w:left="283"/>
    </w:pPr>
  </w:style>
  <w:style w:type="character" w:customStyle="1" w:styleId="BodyTextIndent2Char">
    <w:name w:val="Body Text Indent 2 Char"/>
    <w:basedOn w:val="DefaultParagraphFont"/>
    <w:link w:val="BodyTextIndent2"/>
    <w:uiPriority w:val="99"/>
    <w:semiHidden/>
    <w:rsid w:val="00096BFA"/>
    <w:rPr>
      <w:rFonts w:ascii="RimTimes" w:eastAsia="Times New Roman" w:hAnsi="RimTimes" w:cs="Times New Roman"/>
      <w:sz w:val="20"/>
      <w:szCs w:val="20"/>
    </w:rPr>
  </w:style>
  <w:style w:type="character" w:customStyle="1" w:styleId="ListParagraphChar">
    <w:name w:val="List Paragraph Char"/>
    <w:aliases w:val="2 Char,Virsraksti Char,Punktlista 2-spalt Char"/>
    <w:link w:val="ListParagraph"/>
    <w:uiPriority w:val="34"/>
    <w:locked/>
    <w:rsid w:val="00096BFA"/>
    <w:rPr>
      <w:rFonts w:ascii="RimTimes" w:eastAsia="Times New Roman" w:hAnsi="RimTimes" w:cs="Times New Roman"/>
      <w:sz w:val="20"/>
      <w:szCs w:val="20"/>
    </w:rPr>
  </w:style>
  <w:style w:type="paragraph" w:customStyle="1" w:styleId="Default">
    <w:name w:val="Default"/>
    <w:rsid w:val="00096BFA"/>
    <w:pPr>
      <w:autoSpaceDE w:val="0"/>
      <w:autoSpaceDN w:val="0"/>
      <w:spacing w:after="0" w:line="240" w:lineRule="auto"/>
    </w:pPr>
    <w:rPr>
      <w:rFonts w:ascii="Times New Roman" w:eastAsia="Times New Roman" w:hAnsi="Times New Roman" w:cs="Times New Roman"/>
      <w:color w:val="000000"/>
      <w:sz w:val="24"/>
      <w:szCs w:val="24"/>
      <w:lang w:eastAsia="lv-LV"/>
    </w:rPr>
  </w:style>
  <w:style w:type="character" w:styleId="FootnoteReference">
    <w:name w:val="footnote reference"/>
    <w:uiPriority w:val="99"/>
    <w:rsid w:val="00096BFA"/>
    <w:rPr>
      <w:vertAlign w:val="superscript"/>
    </w:rPr>
  </w:style>
  <w:style w:type="paragraph" w:styleId="FootnoteText">
    <w:name w:val="footnote text"/>
    <w:basedOn w:val="Normal"/>
    <w:link w:val="FootnoteTextChar"/>
    <w:uiPriority w:val="99"/>
    <w:unhideWhenUsed/>
    <w:rsid w:val="00096BFA"/>
    <w:pPr>
      <w:overflowPunct/>
      <w:autoSpaceDE/>
      <w:autoSpaceDN/>
      <w:adjustRightInd/>
      <w:textAlignment w:val="auto"/>
    </w:pPr>
    <w:rPr>
      <w:rFonts w:ascii="Times New Roman" w:hAnsi="Times New Roman"/>
      <w:lang w:eastAsia="lv-LV"/>
    </w:rPr>
  </w:style>
  <w:style w:type="character" w:customStyle="1" w:styleId="FootnoteTextChar">
    <w:name w:val="Footnote Text Char"/>
    <w:basedOn w:val="DefaultParagraphFont"/>
    <w:link w:val="FootnoteText"/>
    <w:uiPriority w:val="99"/>
    <w:rsid w:val="00096BFA"/>
    <w:rPr>
      <w:rFonts w:ascii="Times New Roman" w:eastAsia="Times New Roman" w:hAnsi="Times New Roman" w:cs="Times New Roman"/>
      <w:sz w:val="20"/>
      <w:szCs w:val="20"/>
      <w:lang w:eastAsia="lv-LV"/>
    </w:rPr>
  </w:style>
  <w:style w:type="paragraph" w:customStyle="1" w:styleId="Normal1">
    <w:name w:val="Normal1"/>
    <w:basedOn w:val="Normal"/>
    <w:rsid w:val="00096BFA"/>
    <w:pPr>
      <w:overflowPunct/>
      <w:autoSpaceDE/>
      <w:autoSpaceDN/>
      <w:adjustRightInd/>
      <w:spacing w:before="100" w:beforeAutospacing="1" w:after="100" w:afterAutospacing="1"/>
      <w:textAlignment w:val="auto"/>
    </w:pPr>
    <w:rPr>
      <w:rFonts w:ascii="Times New Roman" w:hAnsi="Times New Roman"/>
      <w:sz w:val="24"/>
      <w:szCs w:val="24"/>
      <w:lang w:eastAsia="lv-LV"/>
    </w:rPr>
  </w:style>
  <w:style w:type="character" w:customStyle="1" w:styleId="italic">
    <w:name w:val="italic"/>
    <w:rsid w:val="00096BFA"/>
  </w:style>
  <w:style w:type="character" w:customStyle="1" w:styleId="super">
    <w:name w:val="super"/>
    <w:rsid w:val="00096BFA"/>
  </w:style>
  <w:style w:type="character" w:customStyle="1" w:styleId="UnresolvedMention1">
    <w:name w:val="Unresolved Mention1"/>
    <w:basedOn w:val="DefaultParagraphFont"/>
    <w:uiPriority w:val="99"/>
    <w:semiHidden/>
    <w:unhideWhenUsed/>
    <w:rsid w:val="00A354E4"/>
    <w:rPr>
      <w:color w:val="808080"/>
      <w:shd w:val="clear" w:color="auto" w:fill="E6E6E6"/>
    </w:rPr>
  </w:style>
  <w:style w:type="character" w:customStyle="1" w:styleId="UnresolvedMention2">
    <w:name w:val="Unresolved Mention2"/>
    <w:basedOn w:val="DefaultParagraphFont"/>
    <w:uiPriority w:val="99"/>
    <w:semiHidden/>
    <w:unhideWhenUsed/>
    <w:rsid w:val="00BE08D8"/>
    <w:rPr>
      <w:color w:val="808080"/>
      <w:shd w:val="clear" w:color="auto" w:fill="E6E6E6"/>
    </w:rPr>
  </w:style>
  <w:style w:type="character" w:customStyle="1" w:styleId="UnresolvedMention3">
    <w:name w:val="Unresolved Mention3"/>
    <w:basedOn w:val="DefaultParagraphFont"/>
    <w:uiPriority w:val="99"/>
    <w:semiHidden/>
    <w:unhideWhenUsed/>
    <w:rsid w:val="00717449"/>
    <w:rPr>
      <w:color w:val="808080"/>
      <w:shd w:val="clear" w:color="auto" w:fill="E6E6E6"/>
    </w:rPr>
  </w:style>
  <w:style w:type="character" w:styleId="FollowedHyperlink">
    <w:name w:val="FollowedHyperlink"/>
    <w:basedOn w:val="DefaultParagraphFont"/>
    <w:uiPriority w:val="99"/>
    <w:semiHidden/>
    <w:unhideWhenUsed/>
    <w:rsid w:val="00426AED"/>
    <w:rPr>
      <w:color w:val="954F72" w:themeColor="followedHyperlink"/>
      <w:u w:val="single"/>
    </w:rPr>
  </w:style>
  <w:style w:type="character" w:customStyle="1" w:styleId="UnresolvedMention4">
    <w:name w:val="Unresolved Mention4"/>
    <w:basedOn w:val="DefaultParagraphFont"/>
    <w:uiPriority w:val="99"/>
    <w:semiHidden/>
    <w:unhideWhenUsed/>
    <w:rsid w:val="00623EDB"/>
    <w:rPr>
      <w:color w:val="605E5C"/>
      <w:shd w:val="clear" w:color="auto" w:fill="E1DFDD"/>
    </w:rPr>
  </w:style>
  <w:style w:type="character" w:styleId="UnresolvedMention">
    <w:name w:val="Unresolved Mention"/>
    <w:basedOn w:val="DefaultParagraphFont"/>
    <w:uiPriority w:val="99"/>
    <w:semiHidden/>
    <w:unhideWhenUsed/>
    <w:rsid w:val="00FF787F"/>
    <w:rPr>
      <w:color w:val="605E5C"/>
      <w:shd w:val="clear" w:color="auto" w:fill="E1DFDD"/>
    </w:rPr>
  </w:style>
  <w:style w:type="paragraph" w:styleId="Revision">
    <w:name w:val="Revision"/>
    <w:hidden/>
    <w:uiPriority w:val="99"/>
    <w:semiHidden/>
    <w:rsid w:val="008D61A7"/>
    <w:pPr>
      <w:spacing w:after="0" w:line="240" w:lineRule="auto"/>
    </w:pPr>
    <w:rPr>
      <w:rFonts w:ascii="RimTimes" w:eastAsia="Times New Roman" w:hAnsi="Rim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6627989">
      <w:bodyDiv w:val="1"/>
      <w:marLeft w:val="0"/>
      <w:marRight w:val="0"/>
      <w:marTop w:val="0"/>
      <w:marBottom w:val="0"/>
      <w:divBdr>
        <w:top w:val="none" w:sz="0" w:space="0" w:color="auto"/>
        <w:left w:val="none" w:sz="0" w:space="0" w:color="auto"/>
        <w:bottom w:val="none" w:sz="0" w:space="0" w:color="auto"/>
        <w:right w:val="none" w:sz="0" w:space="0" w:color="auto"/>
      </w:divBdr>
    </w:div>
    <w:div w:id="966544082">
      <w:bodyDiv w:val="1"/>
      <w:marLeft w:val="0"/>
      <w:marRight w:val="0"/>
      <w:marTop w:val="0"/>
      <w:marBottom w:val="0"/>
      <w:divBdr>
        <w:top w:val="none" w:sz="0" w:space="0" w:color="auto"/>
        <w:left w:val="none" w:sz="0" w:space="0" w:color="auto"/>
        <w:bottom w:val="none" w:sz="0" w:space="0" w:color="auto"/>
        <w:right w:val="none" w:sz="0" w:space="0" w:color="auto"/>
      </w:divBdr>
      <w:divsChild>
        <w:div w:id="387385627">
          <w:marLeft w:val="0"/>
          <w:marRight w:val="0"/>
          <w:marTop w:val="0"/>
          <w:marBottom w:val="0"/>
          <w:divBdr>
            <w:top w:val="none" w:sz="0" w:space="0" w:color="auto"/>
            <w:left w:val="none" w:sz="0" w:space="0" w:color="auto"/>
            <w:bottom w:val="none" w:sz="0" w:space="0" w:color="auto"/>
            <w:right w:val="none" w:sz="0" w:space="0" w:color="auto"/>
          </w:divBdr>
        </w:div>
        <w:div w:id="1232541189">
          <w:marLeft w:val="0"/>
          <w:marRight w:val="0"/>
          <w:marTop w:val="0"/>
          <w:marBottom w:val="0"/>
          <w:divBdr>
            <w:top w:val="none" w:sz="0" w:space="0" w:color="auto"/>
            <w:left w:val="none" w:sz="0" w:space="0" w:color="auto"/>
            <w:bottom w:val="none" w:sz="0" w:space="0" w:color="auto"/>
            <w:right w:val="none" w:sz="0" w:space="0" w:color="auto"/>
          </w:divBdr>
        </w:div>
        <w:div w:id="1589775938">
          <w:marLeft w:val="0"/>
          <w:marRight w:val="0"/>
          <w:marTop w:val="0"/>
          <w:marBottom w:val="0"/>
          <w:divBdr>
            <w:top w:val="none" w:sz="0" w:space="0" w:color="auto"/>
            <w:left w:val="none" w:sz="0" w:space="0" w:color="auto"/>
            <w:bottom w:val="none" w:sz="0" w:space="0" w:color="auto"/>
            <w:right w:val="none" w:sz="0" w:space="0" w:color="auto"/>
          </w:divBdr>
        </w:div>
        <w:div w:id="59716980">
          <w:marLeft w:val="0"/>
          <w:marRight w:val="0"/>
          <w:marTop w:val="0"/>
          <w:marBottom w:val="0"/>
          <w:divBdr>
            <w:top w:val="none" w:sz="0" w:space="0" w:color="auto"/>
            <w:left w:val="none" w:sz="0" w:space="0" w:color="auto"/>
            <w:bottom w:val="none" w:sz="0" w:space="0" w:color="auto"/>
            <w:right w:val="none" w:sz="0" w:space="0" w:color="auto"/>
          </w:divBdr>
        </w:div>
        <w:div w:id="672532878">
          <w:marLeft w:val="0"/>
          <w:marRight w:val="0"/>
          <w:marTop w:val="0"/>
          <w:marBottom w:val="0"/>
          <w:divBdr>
            <w:top w:val="none" w:sz="0" w:space="0" w:color="auto"/>
            <w:left w:val="none" w:sz="0" w:space="0" w:color="auto"/>
            <w:bottom w:val="none" w:sz="0" w:space="0" w:color="auto"/>
            <w:right w:val="none" w:sz="0" w:space="0" w:color="auto"/>
          </w:divBdr>
        </w:div>
        <w:div w:id="473568936">
          <w:marLeft w:val="0"/>
          <w:marRight w:val="0"/>
          <w:marTop w:val="0"/>
          <w:marBottom w:val="0"/>
          <w:divBdr>
            <w:top w:val="none" w:sz="0" w:space="0" w:color="auto"/>
            <w:left w:val="none" w:sz="0" w:space="0" w:color="auto"/>
            <w:bottom w:val="none" w:sz="0" w:space="0" w:color="auto"/>
            <w:right w:val="none" w:sz="0" w:space="0" w:color="auto"/>
          </w:divBdr>
        </w:div>
        <w:div w:id="851650844">
          <w:marLeft w:val="0"/>
          <w:marRight w:val="0"/>
          <w:marTop w:val="0"/>
          <w:marBottom w:val="0"/>
          <w:divBdr>
            <w:top w:val="none" w:sz="0" w:space="0" w:color="auto"/>
            <w:left w:val="none" w:sz="0" w:space="0" w:color="auto"/>
            <w:bottom w:val="none" w:sz="0" w:space="0" w:color="auto"/>
            <w:right w:val="none" w:sz="0" w:space="0" w:color="auto"/>
          </w:divBdr>
        </w:div>
        <w:div w:id="724334868">
          <w:marLeft w:val="0"/>
          <w:marRight w:val="0"/>
          <w:marTop w:val="0"/>
          <w:marBottom w:val="0"/>
          <w:divBdr>
            <w:top w:val="none" w:sz="0" w:space="0" w:color="auto"/>
            <w:left w:val="none" w:sz="0" w:space="0" w:color="auto"/>
            <w:bottom w:val="none" w:sz="0" w:space="0" w:color="auto"/>
            <w:right w:val="none" w:sz="0" w:space="0" w:color="auto"/>
          </w:divBdr>
        </w:div>
        <w:div w:id="516161703">
          <w:marLeft w:val="0"/>
          <w:marRight w:val="0"/>
          <w:marTop w:val="0"/>
          <w:marBottom w:val="0"/>
          <w:divBdr>
            <w:top w:val="none" w:sz="0" w:space="0" w:color="auto"/>
            <w:left w:val="none" w:sz="0" w:space="0" w:color="auto"/>
            <w:bottom w:val="none" w:sz="0" w:space="0" w:color="auto"/>
            <w:right w:val="none" w:sz="0" w:space="0" w:color="auto"/>
          </w:divBdr>
        </w:div>
        <w:div w:id="384720409">
          <w:marLeft w:val="0"/>
          <w:marRight w:val="0"/>
          <w:marTop w:val="0"/>
          <w:marBottom w:val="0"/>
          <w:divBdr>
            <w:top w:val="none" w:sz="0" w:space="0" w:color="auto"/>
            <w:left w:val="none" w:sz="0" w:space="0" w:color="auto"/>
            <w:bottom w:val="none" w:sz="0" w:space="0" w:color="auto"/>
            <w:right w:val="none" w:sz="0" w:space="0" w:color="auto"/>
          </w:divBdr>
        </w:div>
        <w:div w:id="157161345">
          <w:marLeft w:val="0"/>
          <w:marRight w:val="0"/>
          <w:marTop w:val="0"/>
          <w:marBottom w:val="0"/>
          <w:divBdr>
            <w:top w:val="none" w:sz="0" w:space="0" w:color="auto"/>
            <w:left w:val="none" w:sz="0" w:space="0" w:color="auto"/>
            <w:bottom w:val="none" w:sz="0" w:space="0" w:color="auto"/>
            <w:right w:val="none" w:sz="0" w:space="0" w:color="auto"/>
          </w:divBdr>
        </w:div>
      </w:divsChild>
    </w:div>
    <w:div w:id="1627000752">
      <w:bodyDiv w:val="1"/>
      <w:marLeft w:val="0"/>
      <w:marRight w:val="0"/>
      <w:marTop w:val="0"/>
      <w:marBottom w:val="0"/>
      <w:divBdr>
        <w:top w:val="none" w:sz="0" w:space="0" w:color="auto"/>
        <w:left w:val="none" w:sz="0" w:space="0" w:color="auto"/>
        <w:bottom w:val="none" w:sz="0" w:space="0" w:color="auto"/>
        <w:right w:val="none" w:sz="0" w:space="0" w:color="auto"/>
      </w:divBdr>
    </w:div>
    <w:div w:id="1645086029">
      <w:bodyDiv w:val="1"/>
      <w:marLeft w:val="0"/>
      <w:marRight w:val="0"/>
      <w:marTop w:val="0"/>
      <w:marBottom w:val="0"/>
      <w:divBdr>
        <w:top w:val="none" w:sz="0" w:space="0" w:color="auto"/>
        <w:left w:val="none" w:sz="0" w:space="0" w:color="auto"/>
        <w:bottom w:val="none" w:sz="0" w:space="0" w:color="auto"/>
        <w:right w:val="none" w:sz="0" w:space="0" w:color="auto"/>
      </w:divBdr>
    </w:div>
    <w:div w:id="1810396238">
      <w:bodyDiv w:val="1"/>
      <w:marLeft w:val="0"/>
      <w:marRight w:val="0"/>
      <w:marTop w:val="0"/>
      <w:marBottom w:val="0"/>
      <w:divBdr>
        <w:top w:val="none" w:sz="0" w:space="0" w:color="auto"/>
        <w:left w:val="none" w:sz="0" w:space="0" w:color="auto"/>
        <w:bottom w:val="none" w:sz="0" w:space="0" w:color="auto"/>
        <w:right w:val="none" w:sz="0" w:space="0" w:color="auto"/>
      </w:divBdr>
    </w:div>
    <w:div w:id="1901675684">
      <w:bodyDiv w:val="1"/>
      <w:marLeft w:val="0"/>
      <w:marRight w:val="0"/>
      <w:marTop w:val="0"/>
      <w:marBottom w:val="0"/>
      <w:divBdr>
        <w:top w:val="none" w:sz="0" w:space="0" w:color="auto"/>
        <w:left w:val="none" w:sz="0" w:space="0" w:color="auto"/>
        <w:bottom w:val="none" w:sz="0" w:space="0" w:color="auto"/>
        <w:right w:val="none" w:sz="0" w:space="0" w:color="auto"/>
      </w:divBdr>
    </w:div>
    <w:div w:id="205699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tum.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ortfelgarantija@citadele.lv" TargetMode="External"/><Relationship Id="rId4" Type="http://schemas.openxmlformats.org/officeDocument/2006/relationships/settings" Target="settings.xml"/><Relationship Id="rId9" Type="http://schemas.openxmlformats.org/officeDocument/2006/relationships/hyperlink" Target="mailto:--------------@altum.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CE49C-8408-4344-A7B7-83A95380C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27934</Words>
  <Characters>15923</Characters>
  <Application>Microsoft Office Word</Application>
  <DocSecurity>0</DocSecurity>
  <Lines>132</Lines>
  <Paragraphs>87</Paragraphs>
  <ScaleCrop>false</ScaleCrop>
  <HeadingPairs>
    <vt:vector size="2" baseType="variant">
      <vt:variant>
        <vt:lpstr>Title</vt:lpstr>
      </vt:variant>
      <vt:variant>
        <vt:i4>1</vt:i4>
      </vt:variant>
    </vt:vector>
  </HeadingPairs>
  <TitlesOfParts>
    <vt:vector size="1" baseType="lpstr">
      <vt:lpstr/>
    </vt:vector>
  </TitlesOfParts>
  <Company>Altum</Company>
  <LinksUpToDate>false</LinksUpToDate>
  <CharactersWithSpaces>43770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Elīna Dlohi</dc:creator>
  <cp:keywords/>
  <dc:description/>
  <cp:lastModifiedBy>Anda Vāciete</cp:lastModifiedBy>
  <cp:revision>3</cp:revision>
  <cp:lastPrinted>2024-11-25T08:21:00Z</cp:lastPrinted>
  <dcterms:created xsi:type="dcterms:W3CDTF">2024-11-25T08:11:00Z</dcterms:created>
  <dcterms:modified xsi:type="dcterms:W3CDTF">2024-11-25T08:21:00Z</dcterms:modified>
</cp:coreProperties>
</file>